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9B642" w14:textId="77777777" w:rsidR="00926F70" w:rsidRPr="00DB5B6A" w:rsidRDefault="00926F70" w:rsidP="00926F7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ja-JP"/>
        </w:rPr>
      </w:pPr>
      <w:r w:rsidRPr="00DB5B6A">
        <w:rPr>
          <w:rFonts w:asciiTheme="majorHAnsi" w:hAnsiTheme="majorHAnsi" w:cstheme="majorHAnsi"/>
          <w:noProof/>
          <w:lang w:bidi="fr-FR"/>
        </w:rPr>
        <w:drawing>
          <wp:anchor distT="0" distB="0" distL="114300" distR="114300" simplePos="0" relativeHeight="251664384" behindDoc="0" locked="0" layoutInCell="1" allowOverlap="1" wp14:anchorId="49C05B84" wp14:editId="7383B237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1DC7C" w14:textId="77777777" w:rsidR="00926F70" w:rsidRPr="00DB5B6A" w:rsidRDefault="00926F70" w:rsidP="00926F70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DB5B6A">
        <w:rPr>
          <w:rFonts w:asciiTheme="majorHAnsi" w:hAnsiTheme="majorHAnsi" w:cstheme="majorHAnsi"/>
          <w:noProof/>
          <w:sz w:val="24"/>
          <w:szCs w:val="24"/>
          <w:lang w:bidi="fr-FR"/>
        </w:rPr>
        <w:drawing>
          <wp:anchor distT="0" distB="0" distL="114300" distR="114300" simplePos="0" relativeHeight="251665408" behindDoc="0" locked="0" layoutInCell="1" allowOverlap="1" wp14:anchorId="1E58CAF7" wp14:editId="4F6F1742">
            <wp:simplePos x="0" y="0"/>
            <wp:positionH relativeFrom="column">
              <wp:posOffset>0</wp:posOffset>
            </wp:positionH>
            <wp:positionV relativeFrom="page">
              <wp:posOffset>676910</wp:posOffset>
            </wp:positionV>
            <wp:extent cx="2682000" cy="464400"/>
            <wp:effectExtent l="0" t="0" r="0" b="5715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4356B" w14:textId="77777777" w:rsidR="00926F70" w:rsidRPr="00DB5B6A" w:rsidRDefault="00926F70" w:rsidP="00926F70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55C248CC" w14:textId="77777777" w:rsidR="00926F70" w:rsidRPr="00DB5B6A" w:rsidRDefault="00926F70" w:rsidP="00926F70">
      <w:pPr>
        <w:spacing w:before="8" w:after="8" w:line="240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196FAEC7" w14:textId="77777777" w:rsidR="00926F70" w:rsidRPr="00DB5B6A" w:rsidRDefault="00926F70" w:rsidP="00926F70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3312C71C" w14:textId="289704F0" w:rsidR="000E1DAA" w:rsidRPr="000E1DAA" w:rsidRDefault="000E1DAA" w:rsidP="000E1DAA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Le </w:t>
      </w:r>
      <w:r>
        <w:rPr>
          <w:rFonts w:asciiTheme="majorHAnsi" w:hAnsiTheme="majorHAnsi" w:cstheme="majorHAnsi"/>
          <w:b/>
          <w:bCs/>
          <w:color w:val="000000" w:themeColor="text1"/>
        </w:rPr>
        <w:t>document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suivant est divisé en quatre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tableaux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. Le tableau A 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est 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>conçu pour une consultation rapide, avec des conseils pratiques résumés brièvement sous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forme de liste pour les cliniciens </w:t>
      </w:r>
      <w:r>
        <w:rPr>
          <w:rFonts w:asciiTheme="majorHAnsi" w:hAnsiTheme="majorHAnsi" w:cstheme="majorHAnsi"/>
          <w:b/>
          <w:bCs/>
          <w:color w:val="000000" w:themeColor="text1"/>
        </w:rPr>
        <w:t>débord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és. Les tableaux B, C et D sont très détaillés et </w:t>
      </w:r>
      <w:r>
        <w:rPr>
          <w:rFonts w:asciiTheme="majorHAnsi" w:hAnsiTheme="majorHAnsi" w:cstheme="majorHAnsi"/>
          <w:b/>
          <w:bCs/>
          <w:color w:val="000000" w:themeColor="text1"/>
        </w:rPr>
        <w:t>détaillent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les différentes possibilités d'utilisation de la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télépsychiatrie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en général, chez les enfants et les adolescents et chez les personnes âgées. </w:t>
      </w:r>
    </w:p>
    <w:p w14:paraId="726D5CED" w14:textId="589F0531" w:rsidR="000E1DAA" w:rsidRPr="000E1DAA" w:rsidRDefault="000E1DAA" w:rsidP="000E1DAA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Dans les tableaux B, C et D, les questions sont </w:t>
      </w:r>
      <w:r>
        <w:rPr>
          <w:rFonts w:asciiTheme="majorHAnsi" w:hAnsiTheme="majorHAnsi" w:cstheme="majorHAnsi"/>
          <w:b/>
          <w:bCs/>
          <w:color w:val="000000" w:themeColor="text1"/>
        </w:rPr>
        <w:t>regroupées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</w:rPr>
        <w:t>par thèmes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>. Les lecteurs peuvent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>se concentrer uniquement sur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certains domaines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>, mais nous vous suggérons de lire les réponses à toutes les questions d'un groupe, car les réponses se complètent.</w:t>
      </w:r>
    </w:p>
    <w:p w14:paraId="6892F58B" w14:textId="45892D42" w:rsidR="000E1DAA" w:rsidRPr="000E1DAA" w:rsidRDefault="000E1DAA" w:rsidP="000E1DAA">
      <w:pPr>
        <w:tabs>
          <w:tab w:val="left" w:pos="-567"/>
        </w:tabs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Les tableaux ont été créés avec la contribution et les conseils du Dr John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Torous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, directeur de la division de psychiatrie numérique au Beth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Israel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Deaconess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Medical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Center, et psychiatre à la Harvard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Medical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School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. Il est également rédacteur en chef de la revue universitaire sur la technologie et la santé mentale, JMIR Mental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Health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(</w:t>
      </w:r>
      <w:hyperlink r:id="rId9" w:history="1">
        <w:r w:rsidRPr="004505C4">
          <w:rPr>
            <w:rStyle w:val="Lienhypertexte"/>
            <w:rFonts w:asciiTheme="majorHAnsi" w:hAnsiTheme="majorHAnsi" w:cstheme="majorHAnsi"/>
            <w:b/>
            <w:bCs/>
          </w:rPr>
          <w:t>https://mental.jmir.org/</w:t>
        </w:r>
      </w:hyperlink>
      <w:r w:rsidRPr="000E1DAA">
        <w:rPr>
          <w:rFonts w:asciiTheme="majorHAnsi" w:hAnsiTheme="majorHAnsi" w:cstheme="majorHAnsi"/>
          <w:b/>
          <w:bCs/>
          <w:color w:val="000000" w:themeColor="text1"/>
        </w:rPr>
        <w:t>)</w:t>
      </w:r>
      <w:r>
        <w:rPr>
          <w:rFonts w:asciiTheme="majorHAnsi" w:hAnsiTheme="majorHAnsi" w:cstheme="majorHAnsi"/>
          <w:b/>
          <w:bCs/>
          <w:color w:val="000000" w:themeColor="text1"/>
        </w:rPr>
        <w:t>. Il</w:t>
      </w:r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dirige le groupe de travail de l'American </w:t>
      </w:r>
      <w:proofErr w:type="spellStart"/>
      <w:r w:rsidRPr="000E1DAA">
        <w:rPr>
          <w:rFonts w:asciiTheme="majorHAnsi" w:hAnsiTheme="majorHAnsi" w:cstheme="majorHAnsi"/>
          <w:b/>
          <w:bCs/>
          <w:color w:val="000000" w:themeColor="text1"/>
        </w:rPr>
        <w:t>Psychiatric</w:t>
      </w:r>
      <w:proofErr w:type="spellEnd"/>
      <w:r w:rsidRPr="000E1DAA">
        <w:rPr>
          <w:rFonts w:asciiTheme="majorHAnsi" w:hAnsiTheme="majorHAnsi" w:cstheme="majorHAnsi"/>
          <w:b/>
          <w:bCs/>
          <w:color w:val="000000" w:themeColor="text1"/>
        </w:rPr>
        <w:t xml:space="preserve"> Association sur l'évaluation des applications pour smartphones. Nous le remercions pour sa précieuse contribution et ses conseils dans la préparation de ces tableaux.</w:t>
      </w:r>
    </w:p>
    <w:p w14:paraId="68E2C2AA" w14:textId="77777777" w:rsidR="000E1DAA" w:rsidRPr="000E1DAA" w:rsidRDefault="000E1DAA" w:rsidP="000E1DAA">
      <w:pPr>
        <w:tabs>
          <w:tab w:val="left" w:pos="-567"/>
        </w:tabs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7812C650" w14:textId="6D5CF88C" w:rsidR="00926F70" w:rsidRDefault="00926F70" w:rsidP="00926F70">
      <w:pPr>
        <w:spacing w:before="8" w:after="8" w:line="240" w:lineRule="auto"/>
        <w:ind w:left="-567" w:right="-359"/>
        <w:rPr>
          <w:rFonts w:asciiTheme="majorHAnsi" w:hAnsiTheme="majorHAnsi" w:cstheme="majorHAnsi"/>
          <w:iCs/>
          <w:lang w:bidi="fr-FR"/>
        </w:rPr>
      </w:pPr>
      <w:r w:rsidRPr="00DB5B6A">
        <w:rPr>
          <w:rFonts w:asciiTheme="majorHAnsi" w:hAnsiTheme="majorHAnsi" w:cstheme="majorHAnsi"/>
          <w:b/>
          <w:lang w:bidi="fr-FR"/>
        </w:rPr>
        <w:t xml:space="preserve">Tableau 5A : Conseils pratiques en </w:t>
      </w:r>
      <w:proofErr w:type="spellStart"/>
      <w:r w:rsidRPr="00DB5B6A">
        <w:rPr>
          <w:rFonts w:asciiTheme="majorHAnsi" w:hAnsiTheme="majorHAnsi" w:cstheme="majorHAnsi"/>
          <w:b/>
          <w:lang w:bidi="fr-FR"/>
        </w:rPr>
        <w:t>télépsychiatrie</w:t>
      </w:r>
      <w:proofErr w:type="spellEnd"/>
      <w:r w:rsidRPr="00DB5B6A">
        <w:rPr>
          <w:rFonts w:asciiTheme="majorHAnsi" w:hAnsiTheme="majorHAnsi" w:cstheme="majorHAnsi"/>
          <w:b/>
          <w:lang w:bidi="fr-FR"/>
        </w:rPr>
        <w:t xml:space="preserve"> pour les cliniciens : une checklist d’éléments à prendre en compte avant, pendant et après la consultation.</w:t>
      </w:r>
      <w:r w:rsidRPr="00DB5B6A">
        <w:rPr>
          <w:rFonts w:asciiTheme="majorHAnsi" w:hAnsiTheme="majorHAnsi" w:cstheme="majorHAnsi"/>
          <w:b/>
          <w:lang w:bidi="fr-FR"/>
        </w:rPr>
        <w:br/>
      </w:r>
      <w:r w:rsidRPr="00DB5B6A">
        <w:rPr>
          <w:rFonts w:asciiTheme="majorHAnsi" w:hAnsiTheme="majorHAnsi" w:cstheme="majorHAnsi"/>
          <w:i/>
          <w:lang w:bidi="fr-FR"/>
        </w:rPr>
        <w:t>(</w:t>
      </w:r>
      <w:r w:rsidR="00367135">
        <w:rPr>
          <w:rFonts w:asciiTheme="majorHAnsi" w:hAnsiTheme="majorHAnsi" w:cstheme="majorHAnsi"/>
          <w:i/>
          <w:lang w:bidi="fr-FR"/>
        </w:rPr>
        <w:t xml:space="preserve">Ce tableau résume le tableau 5B. </w:t>
      </w:r>
      <w:r w:rsidRPr="00DB5B6A">
        <w:rPr>
          <w:rFonts w:asciiTheme="majorHAnsi" w:hAnsiTheme="majorHAnsi" w:cstheme="majorHAnsi"/>
          <w:i/>
          <w:lang w:bidi="fr-FR"/>
        </w:rPr>
        <w:t>Pour plus d’informations, veuillez</w:t>
      </w:r>
      <w:r w:rsidR="00CF030F">
        <w:rPr>
          <w:rFonts w:asciiTheme="majorHAnsi" w:hAnsiTheme="majorHAnsi" w:cstheme="majorHAnsi"/>
          <w:i/>
          <w:lang w:bidi="fr-FR"/>
        </w:rPr>
        <w:t>-</w:t>
      </w:r>
      <w:r w:rsidRPr="00DB5B6A">
        <w:rPr>
          <w:rFonts w:asciiTheme="majorHAnsi" w:hAnsiTheme="majorHAnsi" w:cstheme="majorHAnsi"/>
          <w:i/>
          <w:lang w:bidi="fr-FR"/>
        </w:rPr>
        <w:t>vous référer à la section du tableau 5B listée entre parenthèses).</w:t>
      </w:r>
    </w:p>
    <w:p w14:paraId="6FFACE0D" w14:textId="03BFC21C" w:rsidR="00367135" w:rsidRDefault="00367135" w:rsidP="00926F70">
      <w:pPr>
        <w:spacing w:before="8" w:after="8" w:line="240" w:lineRule="auto"/>
        <w:ind w:left="-567" w:right="-359"/>
        <w:rPr>
          <w:rFonts w:asciiTheme="majorHAnsi" w:hAnsiTheme="majorHAnsi" w:cstheme="majorHAnsi"/>
          <w:iCs/>
          <w:color w:val="000000" w:themeColor="text1"/>
        </w:rPr>
      </w:pPr>
    </w:p>
    <w:p w14:paraId="6E866989" w14:textId="763672F8" w:rsidR="00367135" w:rsidRPr="00367135" w:rsidRDefault="00367135" w:rsidP="00926F70">
      <w:pPr>
        <w:spacing w:before="8" w:after="8" w:line="240" w:lineRule="auto"/>
        <w:ind w:left="-567" w:right="-359"/>
        <w:rPr>
          <w:rFonts w:asciiTheme="majorHAnsi" w:hAnsiTheme="majorHAnsi" w:cstheme="majorHAnsi"/>
          <w:iCs/>
          <w:color w:val="000000" w:themeColor="text1"/>
        </w:rPr>
      </w:pPr>
      <w:r>
        <w:rPr>
          <w:rFonts w:asciiTheme="majorHAnsi" w:hAnsiTheme="majorHAnsi" w:cstheme="majorHAnsi"/>
          <w:iCs/>
          <w:color w:val="000000" w:themeColor="text1"/>
        </w:rPr>
        <w:t>Traduction et adaptation française</w:t>
      </w:r>
      <w:r w:rsidR="00A57882">
        <w:rPr>
          <w:rFonts w:asciiTheme="majorHAnsi" w:hAnsiTheme="majorHAnsi" w:cstheme="majorHAnsi"/>
          <w:iCs/>
          <w:color w:val="000000" w:themeColor="text1"/>
        </w:rPr>
        <w:t> :</w:t>
      </w:r>
      <w:r>
        <w:rPr>
          <w:rFonts w:asciiTheme="majorHAnsi" w:hAnsiTheme="majorHAnsi" w:cstheme="majorHAnsi"/>
          <w:iCs/>
          <w:color w:val="000000" w:themeColor="text1"/>
        </w:rPr>
        <w:t xml:space="preserve"> Dr Astrid Chevance</w:t>
      </w:r>
      <w:r w:rsidR="00A57882">
        <w:rPr>
          <w:rFonts w:asciiTheme="majorHAnsi" w:hAnsiTheme="majorHAnsi" w:cstheme="majorHAnsi"/>
          <w:iCs/>
          <w:color w:val="000000" w:themeColor="text1"/>
        </w:rPr>
        <w:t>.</w:t>
      </w:r>
    </w:p>
    <w:p w14:paraId="1004E8DE" w14:textId="2766484B" w:rsidR="00926F70" w:rsidRPr="00DB5B6A" w:rsidRDefault="00926F70" w:rsidP="00926F70">
      <w:pPr>
        <w:spacing w:before="8" w:after="8" w:line="240" w:lineRule="auto"/>
        <w:ind w:left="-567" w:right="-359"/>
        <w:rPr>
          <w:rFonts w:asciiTheme="majorHAnsi" w:hAnsiTheme="majorHAnsi" w:cstheme="majorHAnsi"/>
          <w:b/>
          <w:bCs/>
          <w:color w:val="000000" w:themeColor="text1"/>
        </w:rPr>
      </w:pPr>
    </w:p>
    <w:tbl>
      <w:tblPr>
        <w:tblStyle w:val="Grilledutableau"/>
        <w:tblpPr w:leftFromText="180" w:rightFromText="180" w:vertAnchor="text" w:tblpX="-560" w:tblpY="1"/>
        <w:tblOverlap w:val="never"/>
        <w:tblW w:w="14848" w:type="dxa"/>
        <w:tblLayout w:type="fixed"/>
        <w:tblLook w:val="04A0" w:firstRow="1" w:lastRow="0" w:firstColumn="1" w:lastColumn="0" w:noHBand="0" w:noVBand="1"/>
      </w:tblPr>
      <w:tblGrid>
        <w:gridCol w:w="14848"/>
      </w:tblGrid>
      <w:tr w:rsidR="00926F70" w:rsidRPr="00DB5B6A" w14:paraId="48C9F0CC" w14:textId="77777777" w:rsidTr="007A2DFC">
        <w:trPr>
          <w:trHeight w:val="2290"/>
        </w:trPr>
        <w:tc>
          <w:tcPr>
            <w:tcW w:w="14848" w:type="dxa"/>
            <w:tcBorders>
              <w:top w:val="single" w:sz="48" w:space="0" w:color="E3F2FF"/>
              <w:left w:val="single" w:sz="48" w:space="0" w:color="E3F2FF"/>
              <w:bottom w:val="nil"/>
              <w:right w:val="single" w:sz="48" w:space="0" w:color="E2F2FF"/>
            </w:tcBorders>
            <w:shd w:val="clear" w:color="auto" w:fill="E2F2FF"/>
          </w:tcPr>
          <w:p w14:paraId="12789E2B" w14:textId="77777777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Consultez les recommandations nationales pertinentes 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pour votre pays 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(section 2a).</w:t>
            </w:r>
          </w:p>
          <w:p w14:paraId="38588A33" w14:textId="78844E47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Prenez en compte les questions </w:t>
            </w:r>
            <w:r w:rsidR="00367135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de protection des données</w:t>
            </w: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 et le système informatique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que vous et votre patient utiliserez 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(section 2b).</w:t>
            </w:r>
          </w:p>
          <w:p w14:paraId="37BA914E" w14:textId="2BBAAE0C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Préparez le patient :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assurez-vous que le patient dispose des informations </w:t>
            </w:r>
            <w:r w:rsidR="00367135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nécessaire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s avant la consultation 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3a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0B6541D1" w14:textId="77777777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Préparez-vous :</w:t>
            </w:r>
          </w:p>
          <w:p w14:paraId="469AB8A8" w14:textId="77777777" w:rsidR="008B198D" w:rsidRPr="00DB5B6A" w:rsidRDefault="008B198D" w:rsidP="002663A0">
            <w:pPr>
              <w:numPr>
                <w:ilvl w:val="1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familiarisez</w:t>
            </w:r>
            <w:proofErr w:type="gram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vous</w:t>
            </w:r>
            <w:proofErr w:type="spell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avec le système informatique que vous utiliserez 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3b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38AAD4AE" w14:textId="40EF37FB" w:rsidR="008B198D" w:rsidRPr="00DB5B6A" w:rsidRDefault="008B198D" w:rsidP="002663A0">
            <w:pPr>
              <w:numPr>
                <w:ilvl w:val="1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Assurez-vous que votre environnement </w:t>
            </w:r>
            <w:r w:rsidR="00367135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de travail 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est agencé de manière adéquate 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3b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0CADF446" w14:textId="34437758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Début de la consultation : utilisez une checklist semblable à celle présentée ci-dessous, issue de la </w:t>
            </w:r>
            <w:hyperlink r:id="rId10" w:history="1">
              <w:r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 xml:space="preserve">boîte à outil en </w:t>
              </w:r>
              <w:proofErr w:type="spellStart"/>
              <w:r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>télépsychiatrie</w:t>
              </w:r>
              <w:proofErr w:type="spellEnd"/>
            </w:hyperlink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de l’American </w:t>
            </w:r>
            <w:proofErr w:type="spell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Psychiatric</w:t>
            </w:r>
            <w:proofErr w:type="spell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Association 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4a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 :</w:t>
            </w:r>
          </w:p>
          <w:p w14:paraId="6283C495" w14:textId="74196137" w:rsidR="008B198D" w:rsidRPr="00DB5B6A" w:rsidRDefault="008B198D" w:rsidP="00AE42E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2FA87A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1. Nom du clinicien et du patient</w:t>
            </w:r>
          </w:p>
          <w:p w14:paraId="375F2A89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ex</w:t>
            </w:r>
            <w:proofErr w:type="gram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 : « Bonjour, je suis le Dr AB. Est-ce que je m’adresse bien à Mme CD ? Y a </w:t>
            </w:r>
            <w:proofErr w:type="spell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t’il</w:t>
            </w:r>
            <w:proofErr w:type="spell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une autre personne dans la pièce dont vous souhaitez m’informer ? »</w:t>
            </w:r>
          </w:p>
          <w:p w14:paraId="58EF97EB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AA3FD84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2. Localisation du patient</w:t>
            </w:r>
          </w:p>
          <w:p w14:paraId="0041A76B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ex</w:t>
            </w:r>
            <w:proofErr w:type="gram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 : « Pouvez-vous me dire où vous vous trouvez en ce moment ? Il est important que je le sache avant chaque session. »</w:t>
            </w:r>
          </w:p>
          <w:p w14:paraId="71C06E16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E4C475D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3. Informations de contact immédiat pour le clinicien et le patient</w:t>
            </w:r>
          </w:p>
          <w:p w14:paraId="4F5AAF4C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ex</w:t>
            </w:r>
            <w:proofErr w:type="gram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 : « Si la communication coupe pour n’importe quelle raison, par quel autre moyen puis-je vous joindre ? En cas d’urgence, vous pouvez également me contacter au ... »</w:t>
            </w:r>
          </w:p>
          <w:p w14:paraId="6503E1D4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0FB7F72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lastRenderedPageBreak/>
              <w:t>4. Attentes concernant le contact entre les sessions</w:t>
            </w:r>
          </w:p>
          <w:p w14:paraId="2B5514CD" w14:textId="72B92CC8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ex</w:t>
            </w:r>
            <w:proofErr w:type="gram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 : « Bien que nous soyons connectés 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aujourd’hui en téléconsultation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, 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il nous faut réfléchir aux autres possibilités de communication pour d’autres rendez-vous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. [Insérez un plan 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de suivi 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et 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précise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z que vous ne pouvez pas répondre en temps réel en dehors de ces visites] »</w:t>
            </w:r>
          </w:p>
          <w:p w14:paraId="7A0BD4E3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2F2EF31" w14:textId="7777777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5. Plan de gestion d’urgence entre les sessions</w:t>
            </w:r>
          </w:p>
          <w:p w14:paraId="2CCF05D7" w14:textId="6D089207" w:rsidR="008B198D" w:rsidRPr="00DB5B6A" w:rsidRDefault="008B198D" w:rsidP="00DB5B6A">
            <w:pPr>
              <w:shd w:val="clear" w:color="auto" w:fill="FFFFFF" w:themeFill="background1"/>
              <w:spacing w:before="8" w:after="8"/>
              <w:ind w:left="1440" w:right="90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</w:t>
            </w:r>
            <w:proofErr w:type="gram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ex</w:t>
            </w:r>
            <w:proofErr w:type="gram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 : « En cas d’urgence entre les visites, nous avons 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prévu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ce</w:t>
            </w:r>
            <w:r w:rsidR="00812D25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tte conduite à tenir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afin que vous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….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 »</w:t>
            </w:r>
          </w:p>
          <w:p w14:paraId="0CB37A10" w14:textId="5C5E6DAF" w:rsidR="008B198D" w:rsidRPr="00DB5B6A" w:rsidRDefault="008B198D" w:rsidP="008B198D">
            <w:pPr>
              <w:spacing w:before="8" w:after="8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785F61" w14:textId="6B1BFE72" w:rsidR="008B198D" w:rsidRPr="00DB5B6A" w:rsidRDefault="008B198D" w:rsidP="008B198D">
            <w:pPr>
              <w:spacing w:before="8" w:after="8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Il existe d’autres checklists, comme ce </w:t>
            </w:r>
            <w:hyperlink r:id="rId11" w:history="1">
              <w:r w:rsidR="00D9308D"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>résumé visuel par le BMJ</w:t>
              </w:r>
            </w:hyperlink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ainsi que </w:t>
            </w:r>
            <w:hyperlink r:id="rId12" w:history="1">
              <w:r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 xml:space="preserve">l’outil de télésanté du </w:t>
              </w:r>
              <w:proofErr w:type="spellStart"/>
              <w:r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>College</w:t>
              </w:r>
              <w:proofErr w:type="spellEnd"/>
              <w:r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 xml:space="preserve"> of Family </w:t>
              </w:r>
              <w:proofErr w:type="spellStart"/>
              <w:r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>Physicians</w:t>
              </w:r>
              <w:proofErr w:type="spellEnd"/>
              <w:r w:rsidRPr="00DB5B6A">
                <w:rPr>
                  <w:rStyle w:val="Lienhypertexte"/>
                  <w:rFonts w:asciiTheme="majorHAnsi" w:hAnsiTheme="majorHAnsi" w:cstheme="majorHAnsi"/>
                  <w:sz w:val="20"/>
                  <w:szCs w:val="20"/>
                  <w:lang w:bidi="fr-FR"/>
                </w:rPr>
                <w:t xml:space="preserve"> du Canada</w:t>
              </w:r>
            </w:hyperlink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.</w:t>
            </w:r>
          </w:p>
          <w:p w14:paraId="62DEC363" w14:textId="77777777" w:rsidR="008B198D" w:rsidRPr="00DB5B6A" w:rsidRDefault="008B198D" w:rsidP="008B198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6FA9112" w14:textId="77777777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Pendant la consultation, concentrez-vous sur : 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4b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</w:t>
            </w:r>
          </w:p>
          <w:p w14:paraId="259C2CCB" w14:textId="0BF3829A" w:rsidR="008B198D" w:rsidRPr="00DB5B6A" w:rsidRDefault="007731A3" w:rsidP="002663A0">
            <w:pPr>
              <w:numPr>
                <w:ilvl w:val="1"/>
                <w:numId w:val="5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La c</w:t>
            </w:r>
            <w:r w:rsidR="008B198D"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ommunication</w:t>
            </w:r>
          </w:p>
          <w:p w14:paraId="736F25A2" w14:textId="77777777" w:rsidR="008B198D" w:rsidRPr="00DB5B6A" w:rsidRDefault="008B198D" w:rsidP="002663A0">
            <w:pPr>
              <w:numPr>
                <w:ilvl w:val="1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Les plans de secours/d’urgence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en cas de problème (informatique ou clinique)</w:t>
            </w:r>
          </w:p>
          <w:p w14:paraId="0A03B968" w14:textId="77777777" w:rsidR="008B198D" w:rsidRPr="00DB5B6A" w:rsidRDefault="008B198D" w:rsidP="002663A0">
            <w:pPr>
              <w:numPr>
                <w:ilvl w:val="1"/>
                <w:numId w:val="5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La confidentialité</w:t>
            </w:r>
          </w:p>
          <w:p w14:paraId="4BEC8081" w14:textId="77777777" w:rsidR="008B198D" w:rsidRPr="00DB5B6A" w:rsidRDefault="008B198D" w:rsidP="002663A0">
            <w:pPr>
              <w:numPr>
                <w:ilvl w:val="1"/>
                <w:numId w:val="5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Le consentement</w:t>
            </w:r>
          </w:p>
          <w:p w14:paraId="4B0AB7C5" w14:textId="77777777" w:rsidR="008B198D" w:rsidRPr="00DB5B6A" w:rsidRDefault="008B198D" w:rsidP="002663A0">
            <w:pPr>
              <w:numPr>
                <w:ilvl w:val="1"/>
                <w:numId w:val="5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La confiance</w:t>
            </w:r>
          </w:p>
          <w:p w14:paraId="7538D169" w14:textId="77777777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L’examen physique 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est possible, mais peut demander une certaine adaptation 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4c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1FC6A8F9" w14:textId="318CAC7C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Envisagez de combine</w:t>
            </w:r>
            <w:r w:rsidR="007731A3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r</w:t>
            </w: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 plusieurs technologies numériques,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comme des applications, des sites internet d’information, des plateformes pour l’enregistrement de données telles que les symptômes thymiques 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4d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234D2DCD" w14:textId="77777777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Prévoyez des </w:t>
            </w: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plans de secours/d’urgence 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4e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62E2E70A" w14:textId="49190035" w:rsidR="008B198D" w:rsidRPr="00DB5B6A" w:rsidRDefault="008B198D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Informez-vous convenablement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– tout comme vous le feriez pour une consultation en face à face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-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</w:t>
            </w:r>
            <w:r w:rsidR="007731A3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sur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des détails supplémentaires pertinents à la </w:t>
            </w:r>
            <w:proofErr w:type="spellStart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télépsychiatrie</w:t>
            </w:r>
            <w:proofErr w:type="spellEnd"/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 (</w:t>
            </w:r>
            <w:r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5a</w:t>
            </w:r>
            <w:r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7DBB7BA0" w14:textId="6966F37B" w:rsidR="008B198D" w:rsidRPr="00DB5B6A" w:rsidRDefault="007731A3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Spécificités à prendre en compte </w:t>
            </w:r>
            <w:r w:rsidR="008B198D"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(ex : </w:t>
            </w:r>
            <w:r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personnes âgées</w:t>
            </w:r>
            <w:r w:rsidR="008B198D"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 xml:space="preserve">, enfants/adolescents, questions culturelles, évaluations </w:t>
            </w:r>
            <w:r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pluridisciplinaire</w:t>
            </w:r>
            <w:r w:rsidR="008B198D"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 (</w:t>
            </w:r>
            <w:r w:rsidR="008B198D"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6a-d</w:t>
            </w:r>
            <w:r w:rsidR="008B198D"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).</w:t>
            </w:r>
          </w:p>
          <w:p w14:paraId="515F1C35" w14:textId="30CA1223" w:rsidR="00926F70" w:rsidRPr="00DB5B6A" w:rsidRDefault="007731A3" w:rsidP="002663A0">
            <w:pPr>
              <w:numPr>
                <w:ilvl w:val="0"/>
                <w:numId w:val="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>Formation spécifiques</w:t>
            </w:r>
            <w:r w:rsidR="008B198D" w:rsidRPr="00DB5B6A">
              <w:rPr>
                <w:rFonts w:asciiTheme="majorHAnsi" w:hAnsiTheme="majorHAnsi" w:cstheme="majorHAnsi"/>
                <w:b/>
                <w:sz w:val="20"/>
                <w:szCs w:val="20"/>
                <w:lang w:bidi="fr-FR"/>
              </w:rPr>
              <w:t xml:space="preserve"> </w:t>
            </w:r>
            <w:r w:rsidR="008B198D"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(</w:t>
            </w:r>
            <w:r w:rsidR="008B198D" w:rsidRPr="00DB5B6A">
              <w:rPr>
                <w:rFonts w:asciiTheme="majorHAnsi" w:hAnsiTheme="majorHAnsi" w:cstheme="majorHAnsi"/>
                <w:i/>
                <w:sz w:val="20"/>
                <w:szCs w:val="20"/>
                <w:lang w:bidi="fr-FR"/>
              </w:rPr>
              <w:t>section 7a</w:t>
            </w:r>
            <w:r w:rsidR="008B198D" w:rsidRPr="00DB5B6A">
              <w:rPr>
                <w:rFonts w:asciiTheme="majorHAnsi" w:hAnsiTheme="majorHAnsi" w:cstheme="majorHAnsi"/>
                <w:sz w:val="20"/>
                <w:szCs w:val="20"/>
                <w:lang w:bidi="fr-FR"/>
              </w:rPr>
              <w:t>)</w:t>
            </w:r>
          </w:p>
        </w:tc>
      </w:tr>
    </w:tbl>
    <w:p w14:paraId="7BEF29D7" w14:textId="0DABFE24" w:rsidR="003E2D52" w:rsidRPr="00DB5B6A" w:rsidRDefault="003E2D52" w:rsidP="00066D3E">
      <w:pPr>
        <w:rPr>
          <w:rFonts w:asciiTheme="majorHAnsi" w:hAnsiTheme="majorHAnsi" w:cstheme="majorHAnsi"/>
          <w:sz w:val="20"/>
          <w:szCs w:val="20"/>
        </w:rPr>
      </w:pPr>
    </w:p>
    <w:sectPr w:rsidR="003E2D52" w:rsidRPr="00DB5B6A" w:rsidSect="007134B1">
      <w:footerReference w:type="even" r:id="rId13"/>
      <w:footerReference w:type="default" r:id="rId14"/>
      <w:pgSz w:w="16838" w:h="11906" w:orient="landscape"/>
      <w:pgMar w:top="720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11990" w14:textId="77777777" w:rsidR="00457A63" w:rsidRDefault="00457A63" w:rsidP="005414C1">
      <w:pPr>
        <w:spacing w:after="0" w:line="240" w:lineRule="auto"/>
      </w:pPr>
      <w:r>
        <w:separator/>
      </w:r>
    </w:p>
  </w:endnote>
  <w:endnote w:type="continuationSeparator" w:id="0">
    <w:p w14:paraId="05359091" w14:textId="77777777" w:rsidR="00457A63" w:rsidRDefault="00457A63" w:rsidP="0054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0750097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92D4CA6" w14:textId="313213D6" w:rsidR="00A43E55" w:rsidRDefault="00A43E55" w:rsidP="00AE42E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  <w:lang w:bidi="fr-FR"/>
          </w:rPr>
          <w:fldChar w:fldCharType="begin"/>
        </w:r>
        <w:r>
          <w:rPr>
            <w:rStyle w:val="Numrodepage"/>
            <w:lang w:bidi="fr-FR"/>
          </w:rPr>
          <w:instrText xml:space="preserve"> PAGE </w:instrText>
        </w:r>
        <w:r>
          <w:rPr>
            <w:rStyle w:val="Numrodepage"/>
            <w:lang w:bidi="fr-FR"/>
          </w:rPr>
          <w:fldChar w:fldCharType="separate"/>
        </w:r>
        <w:r w:rsidR="00DB5B6A">
          <w:rPr>
            <w:rStyle w:val="Numrodepage"/>
            <w:noProof/>
            <w:lang w:bidi="fr-FR"/>
          </w:rPr>
          <w:t>1</w:t>
        </w:r>
        <w:r>
          <w:rPr>
            <w:rStyle w:val="Numrodepage"/>
            <w:lang w:bidi="fr-FR"/>
          </w:rPr>
          <w:fldChar w:fldCharType="end"/>
        </w:r>
      </w:p>
    </w:sdtContent>
  </w:sdt>
  <w:p w14:paraId="63CB4BF1" w14:textId="77777777" w:rsidR="00A43E55" w:rsidRDefault="00A43E55" w:rsidP="007134B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9371306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0B03577" w14:textId="1019D99E" w:rsidR="00A43E55" w:rsidRDefault="00A43E55" w:rsidP="00AE42E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  <w:lang w:bidi="fr-FR"/>
          </w:rPr>
          <w:fldChar w:fldCharType="begin"/>
        </w:r>
        <w:r>
          <w:rPr>
            <w:rStyle w:val="Numrodepage"/>
            <w:lang w:bidi="fr-FR"/>
          </w:rPr>
          <w:instrText xml:space="preserve"> PAGE </w:instrText>
        </w:r>
        <w:r>
          <w:rPr>
            <w:rStyle w:val="Numrodepage"/>
            <w:lang w:bidi="fr-FR"/>
          </w:rPr>
          <w:fldChar w:fldCharType="separate"/>
        </w:r>
        <w:r>
          <w:rPr>
            <w:rStyle w:val="Numrodepage"/>
            <w:noProof/>
            <w:lang w:bidi="fr-FR"/>
          </w:rPr>
          <w:t>2</w:t>
        </w:r>
        <w:r>
          <w:rPr>
            <w:rStyle w:val="Numrodepage"/>
            <w:lang w:bidi="fr-FR"/>
          </w:rPr>
          <w:fldChar w:fldCharType="end"/>
        </w:r>
      </w:p>
    </w:sdtContent>
  </w:sdt>
  <w:p w14:paraId="29C048A9" w14:textId="77777777" w:rsidR="00A43E55" w:rsidRDefault="00A43E55" w:rsidP="007134B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29F2F" w14:textId="77777777" w:rsidR="00457A63" w:rsidRDefault="00457A63" w:rsidP="005414C1">
      <w:pPr>
        <w:spacing w:after="0" w:line="240" w:lineRule="auto"/>
      </w:pPr>
      <w:r>
        <w:separator/>
      </w:r>
    </w:p>
  </w:footnote>
  <w:footnote w:type="continuationSeparator" w:id="0">
    <w:p w14:paraId="2C887E5A" w14:textId="77777777" w:rsidR="00457A63" w:rsidRDefault="00457A63" w:rsidP="0054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43A2"/>
    <w:multiLevelType w:val="multilevel"/>
    <w:tmpl w:val="D67CE7F4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FC675E"/>
    <w:multiLevelType w:val="hybridMultilevel"/>
    <w:tmpl w:val="2AE6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69AD"/>
    <w:multiLevelType w:val="hybridMultilevel"/>
    <w:tmpl w:val="D21C04EC"/>
    <w:lvl w:ilvl="0" w:tplc="3F60D6B4">
      <w:start w:val="1"/>
      <w:numFmt w:val="bullet"/>
      <w:lvlText w:val="•"/>
      <w:lvlJc w:val="left"/>
      <w:pPr>
        <w:ind w:left="108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03CA8"/>
    <w:multiLevelType w:val="hybridMultilevel"/>
    <w:tmpl w:val="9872D83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01A96"/>
    <w:multiLevelType w:val="multilevel"/>
    <w:tmpl w:val="60DAFCCE"/>
    <w:lvl w:ilvl="0">
      <w:start w:val="1"/>
      <w:numFmt w:val="bullet"/>
      <w:lvlText w:val="•"/>
      <w:lvlJc w:val="left"/>
      <w:pPr>
        <w:ind w:left="108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F13C1"/>
    <w:multiLevelType w:val="hybridMultilevel"/>
    <w:tmpl w:val="170C7FCC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96B4A"/>
    <w:multiLevelType w:val="multilevel"/>
    <w:tmpl w:val="88580A28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DF31ED7"/>
    <w:multiLevelType w:val="hybridMultilevel"/>
    <w:tmpl w:val="ADD0A38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2997"/>
    <w:multiLevelType w:val="multilevel"/>
    <w:tmpl w:val="793C6A60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F06603B"/>
    <w:multiLevelType w:val="hybridMultilevel"/>
    <w:tmpl w:val="143465AE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7F7A"/>
    <w:multiLevelType w:val="multilevel"/>
    <w:tmpl w:val="73F4E526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668EB"/>
    <w:multiLevelType w:val="multilevel"/>
    <w:tmpl w:val="79342404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954A7C"/>
    <w:multiLevelType w:val="hybridMultilevel"/>
    <w:tmpl w:val="96B65A64"/>
    <w:lvl w:ilvl="0" w:tplc="3F60D6B4">
      <w:start w:val="1"/>
      <w:numFmt w:val="bullet"/>
      <w:lvlText w:val="•"/>
      <w:lvlJc w:val="left"/>
      <w:pPr>
        <w:ind w:left="108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C66FA"/>
    <w:multiLevelType w:val="multilevel"/>
    <w:tmpl w:val="AF60AAA8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3132E"/>
    <w:multiLevelType w:val="multilevel"/>
    <w:tmpl w:val="19A42146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B37076F"/>
    <w:multiLevelType w:val="hybridMultilevel"/>
    <w:tmpl w:val="B25890C2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EB09CB"/>
    <w:multiLevelType w:val="hybridMultilevel"/>
    <w:tmpl w:val="A90A53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B4374"/>
    <w:multiLevelType w:val="multilevel"/>
    <w:tmpl w:val="E1FAB7EC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D4A3A67"/>
    <w:multiLevelType w:val="multilevel"/>
    <w:tmpl w:val="67BC24DA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E0C3A86"/>
    <w:multiLevelType w:val="hybridMultilevel"/>
    <w:tmpl w:val="C30E8CE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0C4C03"/>
    <w:multiLevelType w:val="hybridMultilevel"/>
    <w:tmpl w:val="93E8A8E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A54CC"/>
    <w:multiLevelType w:val="hybridMultilevel"/>
    <w:tmpl w:val="9920E050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E20C7"/>
    <w:multiLevelType w:val="hybridMultilevel"/>
    <w:tmpl w:val="4E5C6EC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97006"/>
    <w:multiLevelType w:val="hybridMultilevel"/>
    <w:tmpl w:val="B0BE0C56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A1C9A"/>
    <w:multiLevelType w:val="hybridMultilevel"/>
    <w:tmpl w:val="D99E28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3ADF48F6"/>
    <w:multiLevelType w:val="hybridMultilevel"/>
    <w:tmpl w:val="8E7E1F8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B18BB"/>
    <w:multiLevelType w:val="hybridMultilevel"/>
    <w:tmpl w:val="085E37E4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F6676A"/>
    <w:multiLevelType w:val="hybridMultilevel"/>
    <w:tmpl w:val="194003C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72DAD"/>
    <w:multiLevelType w:val="hybridMultilevel"/>
    <w:tmpl w:val="1EE24240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1F65F2"/>
    <w:multiLevelType w:val="hybridMultilevel"/>
    <w:tmpl w:val="62583D60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27E3D"/>
    <w:multiLevelType w:val="hybridMultilevel"/>
    <w:tmpl w:val="8A2657CC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BC72B1A"/>
    <w:multiLevelType w:val="hybridMultilevel"/>
    <w:tmpl w:val="A3325A1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EE3F5E"/>
    <w:multiLevelType w:val="multilevel"/>
    <w:tmpl w:val="7B645262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190103F"/>
    <w:multiLevelType w:val="multilevel"/>
    <w:tmpl w:val="D4FE8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3742FF3"/>
    <w:multiLevelType w:val="multilevel"/>
    <w:tmpl w:val="73F26CF4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D71496"/>
    <w:multiLevelType w:val="hybridMultilevel"/>
    <w:tmpl w:val="C51EC2E0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052D2"/>
    <w:multiLevelType w:val="hybridMultilevel"/>
    <w:tmpl w:val="31D660A2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47236"/>
    <w:multiLevelType w:val="hybridMultilevel"/>
    <w:tmpl w:val="7EFACC1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76AFC"/>
    <w:multiLevelType w:val="multilevel"/>
    <w:tmpl w:val="4B52173E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D1BC3"/>
    <w:multiLevelType w:val="hybridMultilevel"/>
    <w:tmpl w:val="982078C2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0370"/>
    <w:multiLevelType w:val="hybridMultilevel"/>
    <w:tmpl w:val="212879CE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E10AB4"/>
    <w:multiLevelType w:val="multilevel"/>
    <w:tmpl w:val="784ED00E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0C4A86"/>
    <w:multiLevelType w:val="hybridMultilevel"/>
    <w:tmpl w:val="8B281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01915"/>
    <w:multiLevelType w:val="hybridMultilevel"/>
    <w:tmpl w:val="F90E19CC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1447D"/>
    <w:multiLevelType w:val="hybridMultilevel"/>
    <w:tmpl w:val="07EC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82B68"/>
    <w:multiLevelType w:val="hybridMultilevel"/>
    <w:tmpl w:val="CE10EF54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00BC8"/>
    <w:multiLevelType w:val="hybridMultilevel"/>
    <w:tmpl w:val="37B4402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43CB3"/>
    <w:multiLevelType w:val="multilevel"/>
    <w:tmpl w:val="9C5CF562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7EFE2BA1"/>
    <w:multiLevelType w:val="hybridMultilevel"/>
    <w:tmpl w:val="DDB05B3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48"/>
  </w:num>
  <w:num w:numId="3">
    <w:abstractNumId w:val="15"/>
  </w:num>
  <w:num w:numId="4">
    <w:abstractNumId w:val="24"/>
  </w:num>
  <w:num w:numId="5">
    <w:abstractNumId w:val="42"/>
  </w:num>
  <w:num w:numId="6">
    <w:abstractNumId w:val="14"/>
  </w:num>
  <w:num w:numId="7">
    <w:abstractNumId w:val="33"/>
  </w:num>
  <w:num w:numId="8">
    <w:abstractNumId w:val="0"/>
  </w:num>
  <w:num w:numId="9">
    <w:abstractNumId w:val="1"/>
  </w:num>
  <w:num w:numId="10">
    <w:abstractNumId w:val="16"/>
  </w:num>
  <w:num w:numId="11">
    <w:abstractNumId w:val="36"/>
  </w:num>
  <w:num w:numId="12">
    <w:abstractNumId w:val="25"/>
  </w:num>
  <w:num w:numId="13">
    <w:abstractNumId w:val="47"/>
  </w:num>
  <w:num w:numId="14">
    <w:abstractNumId w:val="34"/>
  </w:num>
  <w:num w:numId="15">
    <w:abstractNumId w:val="13"/>
  </w:num>
  <w:num w:numId="16">
    <w:abstractNumId w:val="22"/>
  </w:num>
  <w:num w:numId="17">
    <w:abstractNumId w:val="37"/>
  </w:num>
  <w:num w:numId="18">
    <w:abstractNumId w:val="9"/>
  </w:num>
  <w:num w:numId="19">
    <w:abstractNumId w:val="10"/>
  </w:num>
  <w:num w:numId="20">
    <w:abstractNumId w:val="5"/>
  </w:num>
  <w:num w:numId="21">
    <w:abstractNumId w:val="46"/>
  </w:num>
  <w:num w:numId="22">
    <w:abstractNumId w:val="39"/>
  </w:num>
  <w:num w:numId="23">
    <w:abstractNumId w:val="20"/>
  </w:num>
  <w:num w:numId="24">
    <w:abstractNumId w:val="38"/>
  </w:num>
  <w:num w:numId="25">
    <w:abstractNumId w:val="2"/>
  </w:num>
  <w:num w:numId="26">
    <w:abstractNumId w:val="4"/>
  </w:num>
  <w:num w:numId="27">
    <w:abstractNumId w:val="12"/>
  </w:num>
  <w:num w:numId="28">
    <w:abstractNumId w:val="41"/>
  </w:num>
  <w:num w:numId="29">
    <w:abstractNumId w:val="19"/>
  </w:num>
  <w:num w:numId="30">
    <w:abstractNumId w:val="40"/>
  </w:num>
  <w:num w:numId="31">
    <w:abstractNumId w:val="26"/>
  </w:num>
  <w:num w:numId="32">
    <w:abstractNumId w:val="28"/>
  </w:num>
  <w:num w:numId="33">
    <w:abstractNumId w:val="35"/>
  </w:num>
  <w:num w:numId="34">
    <w:abstractNumId w:val="44"/>
  </w:num>
  <w:num w:numId="35">
    <w:abstractNumId w:val="18"/>
  </w:num>
  <w:num w:numId="36">
    <w:abstractNumId w:val="8"/>
  </w:num>
  <w:num w:numId="37">
    <w:abstractNumId w:val="7"/>
  </w:num>
  <w:num w:numId="38">
    <w:abstractNumId w:val="23"/>
  </w:num>
  <w:num w:numId="39">
    <w:abstractNumId w:val="21"/>
  </w:num>
  <w:num w:numId="40">
    <w:abstractNumId w:val="31"/>
  </w:num>
  <w:num w:numId="41">
    <w:abstractNumId w:val="43"/>
  </w:num>
  <w:num w:numId="42">
    <w:abstractNumId w:val="17"/>
  </w:num>
  <w:num w:numId="43">
    <w:abstractNumId w:val="3"/>
  </w:num>
  <w:num w:numId="44">
    <w:abstractNumId w:val="29"/>
  </w:num>
  <w:num w:numId="45">
    <w:abstractNumId w:val="45"/>
  </w:num>
  <w:num w:numId="46">
    <w:abstractNumId w:val="32"/>
  </w:num>
  <w:num w:numId="47">
    <w:abstractNumId w:val="6"/>
  </w:num>
  <w:num w:numId="48">
    <w:abstractNumId w:val="27"/>
  </w:num>
  <w:num w:numId="49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6B"/>
    <w:rsid w:val="00006EC1"/>
    <w:rsid w:val="00066D3E"/>
    <w:rsid w:val="00082179"/>
    <w:rsid w:val="000838F1"/>
    <w:rsid w:val="000A6B77"/>
    <w:rsid w:val="000B1AC9"/>
    <w:rsid w:val="000B4E2F"/>
    <w:rsid w:val="000C2F04"/>
    <w:rsid w:val="000D2721"/>
    <w:rsid w:val="000E1DAA"/>
    <w:rsid w:val="000E2C05"/>
    <w:rsid w:val="000E3C4C"/>
    <w:rsid w:val="000E6DF9"/>
    <w:rsid w:val="000F7E38"/>
    <w:rsid w:val="001249C1"/>
    <w:rsid w:val="0012717D"/>
    <w:rsid w:val="00131D51"/>
    <w:rsid w:val="001E1AEC"/>
    <w:rsid w:val="001F62C5"/>
    <w:rsid w:val="00214D30"/>
    <w:rsid w:val="00264083"/>
    <w:rsid w:val="002663A0"/>
    <w:rsid w:val="002919EC"/>
    <w:rsid w:val="0029236D"/>
    <w:rsid w:val="002A4F98"/>
    <w:rsid w:val="002B0BC8"/>
    <w:rsid w:val="003062DA"/>
    <w:rsid w:val="0036050D"/>
    <w:rsid w:val="00367135"/>
    <w:rsid w:val="00387E13"/>
    <w:rsid w:val="00390FC6"/>
    <w:rsid w:val="00396D0C"/>
    <w:rsid w:val="003A6E68"/>
    <w:rsid w:val="003B72BC"/>
    <w:rsid w:val="003C35F3"/>
    <w:rsid w:val="003E2D52"/>
    <w:rsid w:val="004270D7"/>
    <w:rsid w:val="00434A66"/>
    <w:rsid w:val="00454033"/>
    <w:rsid w:val="00457A63"/>
    <w:rsid w:val="00465A19"/>
    <w:rsid w:val="00466707"/>
    <w:rsid w:val="00496568"/>
    <w:rsid w:val="004D3C4C"/>
    <w:rsid w:val="004D6445"/>
    <w:rsid w:val="005414C1"/>
    <w:rsid w:val="00547037"/>
    <w:rsid w:val="00551EB8"/>
    <w:rsid w:val="0055362F"/>
    <w:rsid w:val="00556ECC"/>
    <w:rsid w:val="00557DF1"/>
    <w:rsid w:val="00561D2C"/>
    <w:rsid w:val="00567488"/>
    <w:rsid w:val="00591A21"/>
    <w:rsid w:val="005A2551"/>
    <w:rsid w:val="005C0539"/>
    <w:rsid w:val="005C0F35"/>
    <w:rsid w:val="005F1396"/>
    <w:rsid w:val="005F3A92"/>
    <w:rsid w:val="005F5E84"/>
    <w:rsid w:val="00614FDB"/>
    <w:rsid w:val="00682B04"/>
    <w:rsid w:val="006A2B82"/>
    <w:rsid w:val="006B5887"/>
    <w:rsid w:val="006D1318"/>
    <w:rsid w:val="006E69D3"/>
    <w:rsid w:val="007134B1"/>
    <w:rsid w:val="00722151"/>
    <w:rsid w:val="00731BFC"/>
    <w:rsid w:val="00743168"/>
    <w:rsid w:val="0075262E"/>
    <w:rsid w:val="00762C9F"/>
    <w:rsid w:val="00767ACF"/>
    <w:rsid w:val="00772DEB"/>
    <w:rsid w:val="007731A3"/>
    <w:rsid w:val="00774501"/>
    <w:rsid w:val="007A0940"/>
    <w:rsid w:val="007A2DFC"/>
    <w:rsid w:val="007B3548"/>
    <w:rsid w:val="007B3C2B"/>
    <w:rsid w:val="007B5002"/>
    <w:rsid w:val="007D4C89"/>
    <w:rsid w:val="007F11CD"/>
    <w:rsid w:val="008021B0"/>
    <w:rsid w:val="00810629"/>
    <w:rsid w:val="00811A79"/>
    <w:rsid w:val="00812D25"/>
    <w:rsid w:val="00813899"/>
    <w:rsid w:val="00825F7E"/>
    <w:rsid w:val="008339A4"/>
    <w:rsid w:val="0084188C"/>
    <w:rsid w:val="00841BB5"/>
    <w:rsid w:val="0088338C"/>
    <w:rsid w:val="008A0631"/>
    <w:rsid w:val="008A6E54"/>
    <w:rsid w:val="008B198D"/>
    <w:rsid w:val="008C7ABD"/>
    <w:rsid w:val="008F3F6B"/>
    <w:rsid w:val="00902ED2"/>
    <w:rsid w:val="00916CF2"/>
    <w:rsid w:val="00922110"/>
    <w:rsid w:val="00926F70"/>
    <w:rsid w:val="00944D67"/>
    <w:rsid w:val="00952DEA"/>
    <w:rsid w:val="0098141A"/>
    <w:rsid w:val="0099409F"/>
    <w:rsid w:val="009B565E"/>
    <w:rsid w:val="009D4683"/>
    <w:rsid w:val="009E5724"/>
    <w:rsid w:val="00A0052F"/>
    <w:rsid w:val="00A04297"/>
    <w:rsid w:val="00A063D4"/>
    <w:rsid w:val="00A360B0"/>
    <w:rsid w:val="00A40E59"/>
    <w:rsid w:val="00A43E55"/>
    <w:rsid w:val="00A5601A"/>
    <w:rsid w:val="00A57882"/>
    <w:rsid w:val="00A861E1"/>
    <w:rsid w:val="00A9779D"/>
    <w:rsid w:val="00AB65AA"/>
    <w:rsid w:val="00AC446F"/>
    <w:rsid w:val="00AE42EB"/>
    <w:rsid w:val="00B01E2D"/>
    <w:rsid w:val="00B07C04"/>
    <w:rsid w:val="00B11BD1"/>
    <w:rsid w:val="00B129C2"/>
    <w:rsid w:val="00B133A7"/>
    <w:rsid w:val="00B1509F"/>
    <w:rsid w:val="00B45E14"/>
    <w:rsid w:val="00B67653"/>
    <w:rsid w:val="00B67FCF"/>
    <w:rsid w:val="00B76879"/>
    <w:rsid w:val="00B9052F"/>
    <w:rsid w:val="00BA0C22"/>
    <w:rsid w:val="00BC0ADE"/>
    <w:rsid w:val="00BD38C6"/>
    <w:rsid w:val="00BE531C"/>
    <w:rsid w:val="00BF02B4"/>
    <w:rsid w:val="00C073D5"/>
    <w:rsid w:val="00C104FC"/>
    <w:rsid w:val="00C134AF"/>
    <w:rsid w:val="00C13AF9"/>
    <w:rsid w:val="00C312B5"/>
    <w:rsid w:val="00C76AEE"/>
    <w:rsid w:val="00CF030F"/>
    <w:rsid w:val="00CF0415"/>
    <w:rsid w:val="00CF6A54"/>
    <w:rsid w:val="00CF7F1C"/>
    <w:rsid w:val="00D7471B"/>
    <w:rsid w:val="00D92A12"/>
    <w:rsid w:val="00D9308D"/>
    <w:rsid w:val="00DA22B5"/>
    <w:rsid w:val="00DA2974"/>
    <w:rsid w:val="00DB5B6A"/>
    <w:rsid w:val="00DD7145"/>
    <w:rsid w:val="00DF21CB"/>
    <w:rsid w:val="00DF55C0"/>
    <w:rsid w:val="00E5023F"/>
    <w:rsid w:val="00E63088"/>
    <w:rsid w:val="00E811F3"/>
    <w:rsid w:val="00EB1F08"/>
    <w:rsid w:val="00EB450E"/>
    <w:rsid w:val="00EB5AC6"/>
    <w:rsid w:val="00EC4F9E"/>
    <w:rsid w:val="00EC67A7"/>
    <w:rsid w:val="00F75021"/>
    <w:rsid w:val="00FA0E1E"/>
    <w:rsid w:val="00FD2AB0"/>
    <w:rsid w:val="00FE7439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1F93"/>
  <w15:chartTrackingRefBased/>
  <w15:docId w15:val="{A22E8E2A-662D-4DA3-8E43-928BF03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A29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29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D468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414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4C1"/>
  </w:style>
  <w:style w:type="paragraph" w:styleId="Pieddepage">
    <w:name w:val="footer"/>
    <w:basedOn w:val="Normal"/>
    <w:link w:val="PieddepageC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4C1"/>
  </w:style>
  <w:style w:type="character" w:styleId="Numrodepage">
    <w:name w:val="page number"/>
    <w:basedOn w:val="Policepardfaut"/>
    <w:uiPriority w:val="99"/>
    <w:semiHidden/>
    <w:unhideWhenUsed/>
    <w:rsid w:val="008339A4"/>
  </w:style>
  <w:style w:type="paragraph" w:styleId="Textedebulles">
    <w:name w:val="Balloon Text"/>
    <w:basedOn w:val="Normal"/>
    <w:link w:val="TextedebullesCar"/>
    <w:uiPriority w:val="99"/>
    <w:semiHidden/>
    <w:unhideWhenUsed/>
    <w:rsid w:val="00A063D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3D4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B56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56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56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6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65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A0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fp.ca/sites/default/files/pubfiles/PDF%20Documents/Blog/telehealth_tool_eng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163/resources/bmj-visual-summary-for-remote-consultations-pdf-871390479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gitalpsych.org/uploads/1/2/9/7/129769697/session_sta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ntal.jmir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737</Words>
  <Characters>4059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astrid chevance</cp:lastModifiedBy>
  <cp:revision>6</cp:revision>
  <dcterms:created xsi:type="dcterms:W3CDTF">2020-05-16T06:24:00Z</dcterms:created>
  <dcterms:modified xsi:type="dcterms:W3CDTF">2020-08-19T12:25:00Z</dcterms:modified>
</cp:coreProperties>
</file>