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DE028" w14:textId="70E76CCB" w:rsidR="00C134AF" w:rsidRPr="00C134AF" w:rsidRDefault="00C134AF" w:rsidP="00C134AF">
      <w:pPr>
        <w:spacing w:after="0" w:line="240" w:lineRule="auto"/>
        <w:rPr>
          <w:rFonts w:ascii="Times New Roman" w:eastAsia="Times New Roman" w:hAnsi="Times New Roman" w:cs="Times New Roman"/>
          <w:sz w:val="24"/>
          <w:szCs w:val="24"/>
          <w:lang w:eastAsia="ja-JP"/>
        </w:rPr>
      </w:pPr>
      <w:r w:rsidRPr="005C0539">
        <w:rPr>
          <w:rFonts w:asciiTheme="majorHAnsi" w:hAnsiTheme="majorHAnsi" w:cstheme="majorHAnsi"/>
          <w:noProof/>
          <w:color w:val="000000" w:themeColor="text1"/>
        </w:rPr>
        <w:drawing>
          <wp:anchor distT="0" distB="0" distL="114300" distR="114300" simplePos="0" relativeHeight="251658240" behindDoc="0" locked="0" layoutInCell="1" allowOverlap="1" wp14:anchorId="61DDB1D5" wp14:editId="52552BA6">
            <wp:simplePos x="0" y="0"/>
            <wp:positionH relativeFrom="margin">
              <wp:posOffset>6988175</wp:posOffset>
            </wp:positionH>
            <wp:positionV relativeFrom="margin">
              <wp:posOffset>-544</wp:posOffset>
            </wp:positionV>
            <wp:extent cx="1803400" cy="861060"/>
            <wp:effectExtent l="0" t="0" r="0" b="254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p>
    <w:p w14:paraId="66401FD3" w14:textId="794596B6" w:rsidR="005414C1" w:rsidRPr="008339A4" w:rsidRDefault="002919EC" w:rsidP="00722151">
      <w:pPr>
        <w:spacing w:before="8" w:after="8" w:line="240" w:lineRule="auto"/>
        <w:rPr>
          <w:rFonts w:asciiTheme="majorHAnsi" w:hAnsiTheme="majorHAnsi" w:cstheme="majorHAnsi"/>
          <w:color w:val="000000" w:themeColor="text1"/>
        </w:rPr>
      </w:pPr>
      <w:r w:rsidRPr="00C134AF">
        <w:rPr>
          <w:rFonts w:ascii="Times New Roman" w:eastAsia="Times New Roman" w:hAnsi="Times New Roman" w:cs="Times New Roman"/>
          <w:noProof/>
          <w:sz w:val="24"/>
          <w:szCs w:val="24"/>
          <w:lang w:eastAsia="ja-JP"/>
        </w:rPr>
        <w:drawing>
          <wp:anchor distT="0" distB="0" distL="114300" distR="114300" simplePos="0" relativeHeight="251662336" behindDoc="0" locked="0" layoutInCell="1" allowOverlap="1" wp14:anchorId="796534CE" wp14:editId="2B5E1A58">
            <wp:simplePos x="0" y="0"/>
            <wp:positionH relativeFrom="column">
              <wp:posOffset>0</wp:posOffset>
            </wp:positionH>
            <wp:positionV relativeFrom="page">
              <wp:posOffset>676910</wp:posOffset>
            </wp:positionV>
            <wp:extent cx="2682000" cy="464400"/>
            <wp:effectExtent l="0" t="0" r="0" b="571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2000" cy="46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4BDB4" w14:textId="77777777" w:rsidR="001F62C5" w:rsidRDefault="001F62C5" w:rsidP="00DD7145">
      <w:pPr>
        <w:spacing w:before="8" w:after="8" w:line="240" w:lineRule="auto"/>
        <w:ind w:hanging="567"/>
        <w:rPr>
          <w:rFonts w:asciiTheme="majorHAnsi" w:hAnsiTheme="majorHAnsi" w:cstheme="majorHAnsi"/>
          <w:b/>
          <w:bCs/>
          <w:color w:val="000000" w:themeColor="text1"/>
        </w:rPr>
      </w:pPr>
    </w:p>
    <w:p w14:paraId="65B94C41" w14:textId="77777777" w:rsidR="002919EC" w:rsidRDefault="002919EC" w:rsidP="002919EC">
      <w:pPr>
        <w:spacing w:before="8" w:after="8" w:line="240" w:lineRule="auto"/>
        <w:rPr>
          <w:rFonts w:asciiTheme="majorHAnsi" w:hAnsiTheme="majorHAnsi" w:cstheme="majorHAnsi"/>
          <w:b/>
          <w:bCs/>
          <w:color w:val="000000" w:themeColor="text1"/>
        </w:rPr>
      </w:pPr>
    </w:p>
    <w:p w14:paraId="2F6D2656" w14:textId="77777777" w:rsidR="00847647" w:rsidRDefault="00847647" w:rsidP="00847647">
      <w:pPr>
        <w:rPr>
          <w:rFonts w:asciiTheme="majorHAnsi" w:hAnsiTheme="majorHAnsi" w:cstheme="majorHAnsi"/>
          <w:b/>
          <w:bCs/>
          <w:color w:val="000000" w:themeColor="text1"/>
        </w:rPr>
      </w:pPr>
    </w:p>
    <w:p w14:paraId="26013615" w14:textId="4B8B05DF" w:rsidR="00847647" w:rsidRPr="00100D24" w:rsidRDefault="00847647" w:rsidP="00847647">
      <w:pPr>
        <w:ind w:left="-567"/>
        <w:rPr>
          <w:b/>
          <w:bCs/>
          <w:lang w:val="fr-FR"/>
        </w:rPr>
      </w:pPr>
      <w:r w:rsidRPr="00100D24">
        <w:rPr>
          <w:b/>
          <w:bCs/>
          <w:lang w:val="fr-FR"/>
        </w:rPr>
        <w:t>Table 2</w:t>
      </w:r>
      <w:proofErr w:type="gramStart"/>
      <w:r w:rsidRPr="00100D24">
        <w:rPr>
          <w:b/>
          <w:bCs/>
          <w:lang w:val="fr-FR"/>
        </w:rPr>
        <w:t>b:</w:t>
      </w:r>
      <w:proofErr w:type="gramEnd"/>
      <w:r w:rsidRPr="00100D24">
        <w:rPr>
          <w:b/>
          <w:bCs/>
          <w:lang w:val="fr-FR"/>
        </w:rPr>
        <w:t xml:space="preserve"> Services hospitaliers. Soins de fin de vie pendant la pandémie COVID-19.</w:t>
      </w:r>
    </w:p>
    <w:p w14:paraId="5AC3F5CD" w14:textId="77777777" w:rsidR="00CE209A" w:rsidRDefault="00CE209A" w:rsidP="00CE209A">
      <w:pPr>
        <w:spacing w:before="8" w:after="8" w:line="240" w:lineRule="auto"/>
        <w:ind w:left="-567"/>
        <w:rPr>
          <w:rFonts w:asciiTheme="majorHAnsi" w:hAnsiTheme="majorHAnsi" w:cstheme="majorHAnsi"/>
          <w:i/>
          <w:iCs/>
          <w:color w:val="000000" w:themeColor="text1"/>
          <w:sz w:val="21"/>
          <w:szCs w:val="21"/>
          <w:lang w:val="fr-FR"/>
        </w:rPr>
      </w:pPr>
      <w:r w:rsidRPr="00A46EF4">
        <w:rPr>
          <w:rFonts w:asciiTheme="majorHAnsi" w:hAnsiTheme="majorHAnsi" w:cstheme="majorHAnsi"/>
          <w:i/>
          <w:iCs/>
          <w:color w:val="000000" w:themeColor="text1"/>
          <w:sz w:val="21"/>
          <w:szCs w:val="21"/>
          <w:lang w:val="fr-FR"/>
        </w:rPr>
        <w:t xml:space="preserve">Veuillez noter que toutes les questions de chaque section sont liées les unes aux autres et doivent être lues conjointement. Sous chaque question se trouvent les liens </w:t>
      </w:r>
      <w:proofErr w:type="gramStart"/>
      <w:r w:rsidRPr="00A46EF4">
        <w:rPr>
          <w:rFonts w:asciiTheme="majorHAnsi" w:hAnsiTheme="majorHAnsi" w:cstheme="majorHAnsi"/>
          <w:i/>
          <w:iCs/>
          <w:color w:val="000000" w:themeColor="text1"/>
          <w:sz w:val="21"/>
          <w:szCs w:val="21"/>
          <w:lang w:val="fr-FR"/>
        </w:rPr>
        <w:t>Web</w:t>
      </w:r>
      <w:r>
        <w:rPr>
          <w:rFonts w:asciiTheme="majorHAnsi" w:hAnsiTheme="majorHAnsi" w:cstheme="majorHAnsi"/>
          <w:i/>
          <w:iCs/>
          <w:color w:val="000000" w:themeColor="text1"/>
          <w:sz w:val="21"/>
          <w:szCs w:val="21"/>
          <w:lang w:val="fr-FR"/>
        </w:rPr>
        <w:t>.</w:t>
      </w:r>
      <w:r w:rsidRPr="00A46EF4">
        <w:rPr>
          <w:rFonts w:asciiTheme="majorHAnsi" w:hAnsiTheme="majorHAnsi" w:cstheme="majorHAnsi"/>
          <w:i/>
          <w:iCs/>
          <w:color w:val="000000" w:themeColor="text1"/>
          <w:sz w:val="21"/>
          <w:szCs w:val="21"/>
          <w:lang w:val="fr-FR"/>
        </w:rPr>
        <w:t>.</w:t>
      </w:r>
      <w:proofErr w:type="gramEnd"/>
      <w:r>
        <w:rPr>
          <w:rFonts w:asciiTheme="majorHAnsi" w:hAnsiTheme="majorHAnsi" w:cstheme="majorHAnsi"/>
          <w:i/>
          <w:iCs/>
          <w:color w:val="000000" w:themeColor="text1"/>
          <w:sz w:val="21"/>
          <w:szCs w:val="21"/>
          <w:lang w:val="fr-FR"/>
        </w:rPr>
        <w:t xml:space="preserve"> Pour une liste de sources françaises voir : </w:t>
      </w:r>
      <w:r w:rsidRPr="00BA0AAD">
        <w:rPr>
          <w:rFonts w:asciiTheme="majorHAnsi" w:hAnsiTheme="majorHAnsi" w:cstheme="majorHAnsi"/>
          <w:i/>
          <w:iCs/>
          <w:color w:val="000000" w:themeColor="text1"/>
          <w:sz w:val="21"/>
          <w:szCs w:val="21"/>
          <w:lang w:val="fr-FR"/>
        </w:rPr>
        <w:t>https://www.ajpja.fr/actualites/covid-19-sante-mentale-psychiatrie-toutes-les-ressources-et-informations-pratiques</w:t>
      </w:r>
    </w:p>
    <w:p w14:paraId="1EDA8034" w14:textId="77777777" w:rsidR="00CE209A" w:rsidRPr="00CE209A" w:rsidRDefault="00CE209A" w:rsidP="00CE209A">
      <w:pPr>
        <w:spacing w:before="8" w:after="8" w:line="240" w:lineRule="auto"/>
        <w:ind w:left="-567"/>
        <w:rPr>
          <w:rFonts w:asciiTheme="majorHAnsi" w:hAnsiTheme="majorHAnsi" w:cstheme="majorHAnsi"/>
          <w:b/>
          <w:bCs/>
          <w:color w:val="000000" w:themeColor="text1"/>
          <w:lang w:val="fr-FR"/>
        </w:rPr>
      </w:pPr>
      <w:r w:rsidRPr="00CE209A">
        <w:rPr>
          <w:rFonts w:asciiTheme="majorHAnsi" w:hAnsiTheme="majorHAnsi" w:cstheme="majorHAnsi"/>
          <w:i/>
          <w:iCs/>
          <w:color w:val="000000" w:themeColor="text1"/>
          <w:sz w:val="21"/>
          <w:szCs w:val="21"/>
          <w:lang w:val="fr-FR"/>
        </w:rPr>
        <w:t>Traduction et adaptation française du tableau “</w:t>
      </w:r>
      <w:proofErr w:type="spellStart"/>
      <w:r w:rsidRPr="00CE209A">
        <w:rPr>
          <w:rFonts w:asciiTheme="majorHAnsi" w:hAnsiTheme="majorHAnsi" w:cstheme="majorHAnsi"/>
          <w:b/>
          <w:bCs/>
          <w:color w:val="000000" w:themeColor="text1"/>
          <w:lang w:val="fr-FR"/>
        </w:rPr>
        <w:t>Inpatient</w:t>
      </w:r>
      <w:proofErr w:type="spellEnd"/>
      <w:r w:rsidRPr="00CE209A">
        <w:rPr>
          <w:rFonts w:asciiTheme="majorHAnsi" w:hAnsiTheme="majorHAnsi" w:cstheme="majorHAnsi"/>
          <w:b/>
          <w:bCs/>
          <w:color w:val="000000" w:themeColor="text1"/>
          <w:lang w:val="fr-FR"/>
        </w:rPr>
        <w:t xml:space="preserve"> </w:t>
      </w:r>
      <w:proofErr w:type="spellStart"/>
      <w:r w:rsidRPr="00CE209A">
        <w:rPr>
          <w:rFonts w:asciiTheme="majorHAnsi" w:hAnsiTheme="majorHAnsi" w:cstheme="majorHAnsi"/>
          <w:b/>
          <w:bCs/>
          <w:color w:val="000000" w:themeColor="text1"/>
          <w:lang w:val="fr-FR"/>
        </w:rPr>
        <w:t>wards</w:t>
      </w:r>
      <w:proofErr w:type="spellEnd"/>
      <w:r w:rsidRPr="00CE209A">
        <w:rPr>
          <w:rFonts w:asciiTheme="majorHAnsi" w:hAnsiTheme="majorHAnsi" w:cstheme="majorHAnsi"/>
          <w:b/>
          <w:bCs/>
          <w:color w:val="000000" w:themeColor="text1"/>
          <w:lang w:val="fr-FR"/>
        </w:rPr>
        <w:t xml:space="preserve"> – End of life care </w:t>
      </w:r>
      <w:proofErr w:type="spellStart"/>
      <w:r w:rsidRPr="00CE209A">
        <w:rPr>
          <w:rFonts w:asciiTheme="majorHAnsi" w:hAnsiTheme="majorHAnsi" w:cstheme="majorHAnsi"/>
          <w:b/>
          <w:bCs/>
          <w:color w:val="000000" w:themeColor="text1"/>
          <w:lang w:val="fr-FR"/>
        </w:rPr>
        <w:t>during</w:t>
      </w:r>
      <w:proofErr w:type="spellEnd"/>
      <w:r w:rsidRPr="00CE209A">
        <w:rPr>
          <w:rFonts w:asciiTheme="majorHAnsi" w:hAnsiTheme="majorHAnsi" w:cstheme="majorHAnsi"/>
          <w:b/>
          <w:bCs/>
          <w:color w:val="000000" w:themeColor="text1"/>
          <w:lang w:val="fr-FR"/>
        </w:rPr>
        <w:t xml:space="preserve"> the COVID-19 </w:t>
      </w:r>
      <w:proofErr w:type="spellStart"/>
      <w:r w:rsidRPr="00CE209A">
        <w:rPr>
          <w:rFonts w:asciiTheme="majorHAnsi" w:hAnsiTheme="majorHAnsi" w:cstheme="majorHAnsi"/>
          <w:b/>
          <w:bCs/>
          <w:color w:val="000000" w:themeColor="text1"/>
          <w:lang w:val="fr-FR"/>
        </w:rPr>
        <w:t>pandemic</w:t>
      </w:r>
      <w:proofErr w:type="spellEnd"/>
      <w:r w:rsidRPr="00CE209A">
        <w:rPr>
          <w:rFonts w:asciiTheme="majorHAnsi" w:hAnsiTheme="majorHAnsi" w:cstheme="majorHAnsi"/>
          <w:b/>
          <w:bCs/>
          <w:color w:val="000000" w:themeColor="text1"/>
          <w:lang w:val="fr-FR"/>
        </w:rPr>
        <w:t>.</w:t>
      </w:r>
    </w:p>
    <w:p w14:paraId="2AB998A2" w14:textId="71DBF888" w:rsidR="00CE209A" w:rsidRPr="00CE209A" w:rsidRDefault="00AE267F" w:rsidP="00CE209A">
      <w:pPr>
        <w:spacing w:before="8" w:after="8" w:line="240" w:lineRule="auto"/>
        <w:ind w:left="-567"/>
        <w:rPr>
          <w:rStyle w:val="Lienhypertexte"/>
          <w:rFonts w:asciiTheme="majorHAnsi" w:hAnsiTheme="majorHAnsi" w:cstheme="majorHAnsi"/>
          <w:lang w:val="fr-FR"/>
        </w:rPr>
      </w:pPr>
      <w:hyperlink r:id="rId9" w:history="1">
        <w:r w:rsidR="00CE209A" w:rsidRPr="00CE209A">
          <w:rPr>
            <w:rStyle w:val="Lienhypertexte"/>
            <w:rFonts w:asciiTheme="majorHAnsi" w:hAnsiTheme="majorHAnsi" w:cstheme="majorHAnsi"/>
            <w:lang w:val="fr-FR"/>
          </w:rPr>
          <w:t>https://oxfordhealthbrc.nihr.ac.uk/our-work/oxppl/covid-19-and-mental-health-guidance/</w:t>
        </w:r>
      </w:hyperlink>
    </w:p>
    <w:p w14:paraId="2D214C8E" w14:textId="77777777" w:rsidR="00CE209A" w:rsidRPr="00CE209A" w:rsidRDefault="00CE209A" w:rsidP="00CE209A">
      <w:pPr>
        <w:spacing w:before="8" w:after="8" w:line="240" w:lineRule="auto"/>
        <w:ind w:left="-567"/>
        <w:rPr>
          <w:rFonts w:asciiTheme="majorHAnsi" w:hAnsiTheme="majorHAnsi" w:cstheme="majorHAnsi"/>
          <w:lang w:val="fr-FR"/>
        </w:rPr>
      </w:pPr>
    </w:p>
    <w:p w14:paraId="7182A4EC" w14:textId="3B897762" w:rsidR="00CE209A" w:rsidRPr="00AB380E" w:rsidRDefault="00CE209A" w:rsidP="00CE209A">
      <w:pPr>
        <w:spacing w:before="8" w:after="8" w:line="240" w:lineRule="auto"/>
        <w:ind w:left="-567"/>
        <w:rPr>
          <w:rFonts w:asciiTheme="majorHAnsi" w:hAnsiTheme="majorHAnsi" w:cstheme="majorHAnsi"/>
          <w:b/>
          <w:bCs/>
          <w:lang w:val="fr-FR"/>
        </w:rPr>
      </w:pPr>
      <w:r w:rsidRPr="00AB380E">
        <w:rPr>
          <w:rFonts w:asciiTheme="majorHAnsi" w:hAnsiTheme="majorHAnsi" w:cstheme="majorHAnsi"/>
          <w:i/>
          <w:iCs/>
          <w:color w:val="000000" w:themeColor="text1"/>
          <w:sz w:val="21"/>
          <w:szCs w:val="21"/>
          <w:lang w:val="fr-FR"/>
        </w:rPr>
        <w:t>Traduction</w:t>
      </w:r>
      <w:r>
        <w:rPr>
          <w:rFonts w:asciiTheme="majorHAnsi" w:hAnsiTheme="majorHAnsi" w:cstheme="majorHAnsi"/>
          <w:i/>
          <w:iCs/>
          <w:color w:val="000000" w:themeColor="text1"/>
          <w:sz w:val="21"/>
          <w:szCs w:val="21"/>
          <w:lang w:val="fr-FR"/>
        </w:rPr>
        <w:t xml:space="preserve"> et adaptation</w:t>
      </w:r>
      <w:r w:rsidRPr="00AB380E">
        <w:rPr>
          <w:rFonts w:asciiTheme="majorHAnsi" w:hAnsiTheme="majorHAnsi" w:cstheme="majorHAnsi"/>
          <w:i/>
          <w:iCs/>
          <w:color w:val="000000" w:themeColor="text1"/>
          <w:sz w:val="21"/>
          <w:szCs w:val="21"/>
          <w:lang w:val="fr-FR"/>
        </w:rPr>
        <w:t xml:space="preserve"> par </w:t>
      </w:r>
      <w:r>
        <w:rPr>
          <w:rFonts w:asciiTheme="majorHAnsi" w:hAnsiTheme="majorHAnsi" w:cstheme="majorHAnsi"/>
          <w:i/>
          <w:iCs/>
          <w:color w:val="000000" w:themeColor="text1"/>
          <w:sz w:val="21"/>
          <w:szCs w:val="21"/>
          <w:lang w:val="fr-FR"/>
        </w:rPr>
        <w:t>Claire Jaffré</w:t>
      </w:r>
      <w:r w:rsidRPr="00AB380E">
        <w:rPr>
          <w:rFonts w:asciiTheme="majorHAnsi" w:hAnsiTheme="majorHAnsi" w:cstheme="majorHAnsi"/>
          <w:i/>
          <w:iCs/>
          <w:color w:val="000000" w:themeColor="text1"/>
          <w:sz w:val="21"/>
          <w:szCs w:val="21"/>
          <w:lang w:val="fr-FR"/>
        </w:rPr>
        <w:t>, D</w:t>
      </w:r>
      <w:r>
        <w:rPr>
          <w:rFonts w:asciiTheme="majorHAnsi" w:hAnsiTheme="majorHAnsi" w:cstheme="majorHAnsi"/>
          <w:i/>
          <w:iCs/>
          <w:color w:val="000000" w:themeColor="text1"/>
          <w:sz w:val="21"/>
          <w:szCs w:val="21"/>
          <w:lang w:val="fr-FR"/>
        </w:rPr>
        <w:t>r Astrid Chevance</w:t>
      </w:r>
    </w:p>
    <w:p w14:paraId="3BFDDA8F" w14:textId="77777777" w:rsidR="00CE209A" w:rsidRDefault="00CE209A" w:rsidP="00CE209A">
      <w:pPr>
        <w:spacing w:before="8" w:after="8" w:line="240" w:lineRule="auto"/>
        <w:rPr>
          <w:rFonts w:asciiTheme="majorHAnsi" w:hAnsiTheme="majorHAnsi" w:cstheme="majorHAnsi"/>
          <w:sz w:val="20"/>
          <w:szCs w:val="20"/>
          <w:lang w:val="fr-FR"/>
        </w:rPr>
      </w:pPr>
    </w:p>
    <w:p w14:paraId="6E5C02ED" w14:textId="77777777" w:rsidR="001F62C5" w:rsidRPr="00CE209A" w:rsidRDefault="001F62C5" w:rsidP="00B45E14">
      <w:pPr>
        <w:spacing w:before="8" w:after="8" w:line="240" w:lineRule="auto"/>
        <w:rPr>
          <w:rFonts w:asciiTheme="majorHAnsi" w:hAnsiTheme="majorHAnsi" w:cstheme="majorHAnsi"/>
          <w:sz w:val="20"/>
          <w:szCs w:val="20"/>
          <w:lang w:val="fr-FR"/>
        </w:rPr>
      </w:pPr>
    </w:p>
    <w:tbl>
      <w:tblPr>
        <w:tblStyle w:val="Grilledutableau"/>
        <w:tblpPr w:leftFromText="180" w:rightFromText="180" w:vertAnchor="text" w:tblpX="-560" w:tblpY="1"/>
        <w:tblOverlap w:val="never"/>
        <w:tblW w:w="14850" w:type="dxa"/>
        <w:tblLook w:val="04A0" w:firstRow="1" w:lastRow="0" w:firstColumn="1" w:lastColumn="0" w:noHBand="0" w:noVBand="1"/>
      </w:tblPr>
      <w:tblGrid>
        <w:gridCol w:w="3401"/>
        <w:gridCol w:w="11449"/>
      </w:tblGrid>
      <w:tr w:rsidR="00DD7145" w:rsidRPr="00B45E14" w14:paraId="41DC99C5" w14:textId="77777777" w:rsidTr="00FD17AC">
        <w:tc>
          <w:tcPr>
            <w:tcW w:w="1145" w:type="pct"/>
            <w:tcBorders>
              <w:top w:val="single" w:sz="48" w:space="0" w:color="E2F2FF"/>
              <w:left w:val="single" w:sz="48" w:space="0" w:color="E2F2FF"/>
              <w:bottom w:val="single" w:sz="4" w:space="0" w:color="auto"/>
              <w:right w:val="nil"/>
            </w:tcBorders>
            <w:shd w:val="clear" w:color="auto" w:fill="E2F2FF"/>
          </w:tcPr>
          <w:p w14:paraId="33698D3E" w14:textId="1C6B03AA" w:rsidR="005C0539" w:rsidRPr="00B45E14" w:rsidRDefault="00D40D3E" w:rsidP="00DD7145">
            <w:pPr>
              <w:spacing w:before="8" w:after="8"/>
              <w:rPr>
                <w:rFonts w:asciiTheme="majorHAnsi" w:hAnsiTheme="majorHAnsi" w:cstheme="majorHAnsi"/>
                <w:b/>
                <w:bCs/>
                <w:sz w:val="20"/>
                <w:szCs w:val="20"/>
              </w:rPr>
            </w:pPr>
            <w:r>
              <w:rPr>
                <w:rFonts w:asciiTheme="majorHAnsi" w:hAnsiTheme="majorHAnsi" w:cstheme="majorHAnsi"/>
                <w:b/>
                <w:bCs/>
                <w:sz w:val="20"/>
                <w:szCs w:val="20"/>
              </w:rPr>
              <w:t xml:space="preserve">Question </w:t>
            </w:r>
            <w:proofErr w:type="spellStart"/>
            <w:r>
              <w:rPr>
                <w:rFonts w:asciiTheme="majorHAnsi" w:hAnsiTheme="majorHAnsi" w:cstheme="majorHAnsi"/>
                <w:b/>
                <w:bCs/>
                <w:sz w:val="20"/>
                <w:szCs w:val="20"/>
              </w:rPr>
              <w:t>clinique</w:t>
            </w:r>
            <w:proofErr w:type="spellEnd"/>
            <w:r w:rsidR="005C0539" w:rsidRPr="00B45E14">
              <w:rPr>
                <w:rFonts w:asciiTheme="majorHAnsi" w:hAnsiTheme="majorHAnsi" w:cstheme="majorHAnsi"/>
                <w:b/>
                <w:bCs/>
                <w:sz w:val="20"/>
                <w:szCs w:val="20"/>
              </w:rPr>
              <w:t xml:space="preserve"> </w:t>
            </w:r>
          </w:p>
        </w:tc>
        <w:tc>
          <w:tcPr>
            <w:tcW w:w="4138" w:type="pct"/>
            <w:tcBorders>
              <w:top w:val="single" w:sz="48" w:space="0" w:color="E2F2FF"/>
              <w:left w:val="nil"/>
              <w:bottom w:val="single" w:sz="4" w:space="0" w:color="auto"/>
              <w:right w:val="single" w:sz="48" w:space="0" w:color="E2F2FF"/>
            </w:tcBorders>
            <w:shd w:val="clear" w:color="auto" w:fill="E2F2FF"/>
          </w:tcPr>
          <w:p w14:paraId="735C52DF" w14:textId="1FBF285D" w:rsidR="005C0539" w:rsidRPr="00B45E14" w:rsidRDefault="00D40D3E" w:rsidP="00DD7145">
            <w:pPr>
              <w:spacing w:before="8" w:after="8"/>
              <w:rPr>
                <w:rFonts w:asciiTheme="majorHAnsi" w:hAnsiTheme="majorHAnsi" w:cstheme="majorHAnsi"/>
                <w:b/>
                <w:bCs/>
                <w:sz w:val="20"/>
                <w:szCs w:val="20"/>
              </w:rPr>
            </w:pPr>
            <w:proofErr w:type="spellStart"/>
            <w:r>
              <w:rPr>
                <w:rFonts w:asciiTheme="majorHAnsi" w:hAnsiTheme="majorHAnsi" w:cstheme="majorHAnsi"/>
                <w:b/>
                <w:bCs/>
                <w:sz w:val="20"/>
                <w:szCs w:val="20"/>
              </w:rPr>
              <w:t>Recommandations</w:t>
            </w:r>
            <w:proofErr w:type="spellEnd"/>
          </w:p>
        </w:tc>
      </w:tr>
      <w:tr w:rsidR="00DD7145" w:rsidRPr="00B45E14" w14:paraId="690D7DB0" w14:textId="77777777" w:rsidTr="00FD17AC">
        <w:tc>
          <w:tcPr>
            <w:tcW w:w="1145" w:type="pct"/>
            <w:tcBorders>
              <w:left w:val="single" w:sz="48" w:space="0" w:color="E2F2FF"/>
              <w:bottom w:val="nil"/>
              <w:right w:val="nil"/>
            </w:tcBorders>
            <w:shd w:val="clear" w:color="auto" w:fill="E2F2FF"/>
          </w:tcPr>
          <w:p w14:paraId="4703FEBF" w14:textId="77777777" w:rsidR="005C0539" w:rsidRPr="00B45E14" w:rsidRDefault="005C0539" w:rsidP="00DD7145">
            <w:pPr>
              <w:spacing w:before="8" w:after="8"/>
              <w:rPr>
                <w:rFonts w:asciiTheme="majorHAnsi" w:hAnsiTheme="majorHAnsi" w:cstheme="majorHAnsi"/>
                <w:b/>
                <w:bCs/>
                <w:sz w:val="20"/>
                <w:szCs w:val="20"/>
              </w:rPr>
            </w:pPr>
          </w:p>
        </w:tc>
        <w:tc>
          <w:tcPr>
            <w:tcW w:w="4138" w:type="pct"/>
            <w:tcBorders>
              <w:left w:val="nil"/>
              <w:bottom w:val="nil"/>
              <w:right w:val="single" w:sz="48" w:space="0" w:color="E2F2FF"/>
            </w:tcBorders>
            <w:shd w:val="clear" w:color="auto" w:fill="E2F2FF"/>
          </w:tcPr>
          <w:p w14:paraId="7F50B99A" w14:textId="77777777" w:rsidR="005C0539" w:rsidRPr="00B45E14" w:rsidRDefault="005C0539" w:rsidP="00DD7145">
            <w:pPr>
              <w:spacing w:before="8" w:after="8"/>
              <w:rPr>
                <w:rFonts w:asciiTheme="majorHAnsi" w:hAnsiTheme="majorHAnsi" w:cstheme="majorHAnsi"/>
                <w:sz w:val="20"/>
                <w:szCs w:val="20"/>
              </w:rPr>
            </w:pPr>
          </w:p>
        </w:tc>
      </w:tr>
      <w:tr w:rsidR="00885438" w:rsidRPr="009A427D" w14:paraId="77FFCDCE" w14:textId="77777777" w:rsidTr="00FD17AC">
        <w:tc>
          <w:tcPr>
            <w:tcW w:w="1145" w:type="pct"/>
            <w:tcBorders>
              <w:top w:val="nil"/>
              <w:left w:val="single" w:sz="48" w:space="0" w:color="E2F2FF"/>
              <w:bottom w:val="nil"/>
              <w:right w:val="nil"/>
            </w:tcBorders>
            <w:shd w:val="clear" w:color="auto" w:fill="E2F2FF"/>
          </w:tcPr>
          <w:p w14:paraId="77FF2974" w14:textId="77777777" w:rsidR="00D40D3E" w:rsidRDefault="00D40D3E" w:rsidP="000B185D">
            <w:pPr>
              <w:spacing w:before="8" w:after="8" w:line="235" w:lineRule="auto"/>
              <w:rPr>
                <w:b/>
                <w:lang w:val="fr-FR"/>
              </w:rPr>
            </w:pPr>
            <w:r w:rsidRPr="00100D24">
              <w:rPr>
                <w:b/>
                <w:lang w:val="fr-FR"/>
              </w:rPr>
              <w:t>Comment gérer au mieux les soins de fin de vie des patients suspects/confirmés positifs au COVID-19 dans le service ?</w:t>
            </w:r>
          </w:p>
          <w:p w14:paraId="66E1CB56" w14:textId="77777777" w:rsidR="005575EB" w:rsidRPr="0063076C" w:rsidRDefault="00AE267F" w:rsidP="005575EB">
            <w:pPr>
              <w:rPr>
                <w:b/>
                <w:lang w:val="en-US"/>
              </w:rPr>
            </w:pPr>
            <w:hyperlink r:id="rId10" w:history="1">
              <w:r w:rsidR="005575EB" w:rsidRPr="0063076C">
                <w:rPr>
                  <w:rStyle w:val="Lienhypertexte"/>
                  <w:b/>
                  <w:lang w:val="en-US"/>
                </w:rPr>
                <w:t>[Link 1]</w:t>
              </w:r>
            </w:hyperlink>
          </w:p>
          <w:p w14:paraId="7F428D89" w14:textId="77777777" w:rsidR="005575EB" w:rsidRPr="0063076C" w:rsidRDefault="00AE267F" w:rsidP="005575EB">
            <w:pPr>
              <w:rPr>
                <w:b/>
                <w:lang w:val="en-US"/>
              </w:rPr>
            </w:pPr>
            <w:hyperlink r:id="rId11" w:history="1">
              <w:r w:rsidR="005575EB" w:rsidRPr="0063076C">
                <w:rPr>
                  <w:rStyle w:val="Lienhypertexte"/>
                  <w:b/>
                  <w:lang w:val="en-US"/>
                </w:rPr>
                <w:t>[Link 2]</w:t>
              </w:r>
            </w:hyperlink>
          </w:p>
          <w:p w14:paraId="373CC52B" w14:textId="77777777" w:rsidR="005575EB" w:rsidRPr="0063076C" w:rsidRDefault="00AE267F" w:rsidP="005575EB">
            <w:pPr>
              <w:rPr>
                <w:b/>
                <w:lang w:val="en-US"/>
              </w:rPr>
            </w:pPr>
            <w:hyperlink r:id="rId12" w:history="1">
              <w:r w:rsidR="005575EB" w:rsidRPr="0063076C">
                <w:rPr>
                  <w:rStyle w:val="Lienhypertexte"/>
                  <w:b/>
                  <w:lang w:val="en-US"/>
                </w:rPr>
                <w:t>[Link 3]</w:t>
              </w:r>
            </w:hyperlink>
          </w:p>
          <w:p w14:paraId="3164DAF6" w14:textId="77777777" w:rsidR="005575EB" w:rsidRPr="0063076C" w:rsidRDefault="00AE267F" w:rsidP="005575EB">
            <w:pPr>
              <w:rPr>
                <w:b/>
                <w:lang w:val="en-US"/>
              </w:rPr>
            </w:pPr>
            <w:hyperlink r:id="rId13" w:history="1">
              <w:r w:rsidR="005575EB" w:rsidRPr="0063076C">
                <w:rPr>
                  <w:rStyle w:val="Lienhypertexte"/>
                  <w:b/>
                  <w:lang w:val="en-US"/>
                </w:rPr>
                <w:t>[Link 4]</w:t>
              </w:r>
            </w:hyperlink>
          </w:p>
          <w:p w14:paraId="0530EF21" w14:textId="77777777" w:rsidR="005575EB" w:rsidRPr="0063076C" w:rsidRDefault="00AE267F" w:rsidP="005575EB">
            <w:pPr>
              <w:rPr>
                <w:b/>
                <w:lang w:val="en-US"/>
              </w:rPr>
            </w:pPr>
            <w:hyperlink r:id="rId14" w:history="1">
              <w:r w:rsidR="005575EB" w:rsidRPr="0063076C">
                <w:rPr>
                  <w:rStyle w:val="Lienhypertexte"/>
                  <w:b/>
                  <w:lang w:val="en-US"/>
                </w:rPr>
                <w:t>[Link 5]</w:t>
              </w:r>
            </w:hyperlink>
          </w:p>
          <w:p w14:paraId="41527DB6" w14:textId="77777777" w:rsidR="005575EB" w:rsidRPr="009A427D" w:rsidRDefault="00AE267F" w:rsidP="005575EB">
            <w:pPr>
              <w:rPr>
                <w:b/>
                <w:lang w:val="en-US"/>
              </w:rPr>
            </w:pPr>
            <w:hyperlink r:id="rId15" w:history="1">
              <w:r w:rsidR="005575EB" w:rsidRPr="009A427D">
                <w:rPr>
                  <w:rStyle w:val="Lienhypertexte"/>
                  <w:b/>
                  <w:lang w:val="en-US"/>
                </w:rPr>
                <w:t>[Link 6]</w:t>
              </w:r>
            </w:hyperlink>
          </w:p>
          <w:p w14:paraId="14AD75DA" w14:textId="77777777" w:rsidR="005575EB" w:rsidRPr="00E33E5F" w:rsidRDefault="005575EB" w:rsidP="005575EB">
            <w:pPr>
              <w:rPr>
                <w:rStyle w:val="Lienhypertexte"/>
                <w:b/>
                <w:lang w:val="en-US"/>
              </w:rPr>
            </w:pPr>
            <w:r>
              <w:rPr>
                <w:b/>
                <w:lang w:val="en-US"/>
              </w:rPr>
              <w:fldChar w:fldCharType="begin"/>
            </w:r>
            <w:r>
              <w:rPr>
                <w:b/>
                <w:lang w:val="en-US"/>
              </w:rPr>
              <w:instrText xml:space="preserve"> HYPERLINK "https://www.england.nhs.uk/coronavirus/wp-content/uploads/sites/52/2020/04/C0081-AMENDED-Speciality-guide-Palliative-care-and-coronavirus-v2-2020-04-22.pdfhttps:/www.england.nhs.uk/coronavirus/wp-content/uploads/sites/52/2020/04/C0081-AMENDED-Speciality-guide-Palliative-care-and-coronavirus-v2-2020-04-22.pdf" </w:instrText>
            </w:r>
            <w:r>
              <w:rPr>
                <w:b/>
                <w:lang w:val="en-US"/>
              </w:rPr>
              <w:fldChar w:fldCharType="separate"/>
            </w:r>
            <w:r w:rsidRPr="00E33E5F">
              <w:rPr>
                <w:rStyle w:val="Lienhypertexte"/>
                <w:b/>
                <w:lang w:val="en-US"/>
              </w:rPr>
              <w:t>[Link 7]</w:t>
            </w:r>
          </w:p>
          <w:p w14:paraId="5D8EF1A7" w14:textId="77777777" w:rsidR="005575EB" w:rsidRPr="00E33E5F" w:rsidRDefault="005575EB" w:rsidP="005575EB">
            <w:pPr>
              <w:rPr>
                <w:b/>
                <w:lang w:val="en-US"/>
              </w:rPr>
            </w:pPr>
            <w:r>
              <w:rPr>
                <w:b/>
                <w:lang w:val="en-US"/>
              </w:rPr>
              <w:fldChar w:fldCharType="end"/>
            </w:r>
            <w:hyperlink r:id="rId16" w:history="1">
              <w:r w:rsidRPr="00E33E5F">
                <w:rPr>
                  <w:rStyle w:val="Lienhypertexte"/>
                  <w:b/>
                  <w:lang w:val="en-US"/>
                </w:rPr>
                <w:t>[Link 8]</w:t>
              </w:r>
            </w:hyperlink>
          </w:p>
          <w:p w14:paraId="0ABF3638" w14:textId="50043F82" w:rsidR="00692561" w:rsidRPr="009A427D" w:rsidRDefault="009A427D" w:rsidP="000B185D">
            <w:pPr>
              <w:spacing w:before="8" w:after="8" w:line="235" w:lineRule="auto"/>
              <w:rPr>
                <w:rFonts w:asciiTheme="majorHAnsi" w:hAnsiTheme="majorHAnsi" w:cstheme="majorHAnsi"/>
                <w:sz w:val="20"/>
                <w:szCs w:val="20"/>
                <w:lang w:val="en-US"/>
              </w:rPr>
            </w:pPr>
            <w:hyperlink r:id="rId17" w:history="1">
              <w:r w:rsidRPr="009A427D">
                <w:rPr>
                  <w:rStyle w:val="Lienhypertexte"/>
                  <w:rFonts w:asciiTheme="majorHAnsi" w:hAnsiTheme="majorHAnsi" w:cstheme="majorHAnsi"/>
                  <w:sz w:val="20"/>
                  <w:szCs w:val="20"/>
                  <w:lang w:val="en-US"/>
                </w:rPr>
                <w:t xml:space="preserve">Lien </w:t>
              </w:r>
              <w:proofErr w:type="spellStart"/>
              <w:r w:rsidRPr="009A427D">
                <w:rPr>
                  <w:rStyle w:val="Lienhypertexte"/>
                  <w:rFonts w:asciiTheme="majorHAnsi" w:hAnsiTheme="majorHAnsi" w:cstheme="majorHAnsi"/>
                  <w:sz w:val="20"/>
                  <w:szCs w:val="20"/>
                  <w:lang w:val="en-US"/>
                </w:rPr>
                <w:t>supplémentaire</w:t>
              </w:r>
              <w:proofErr w:type="spellEnd"/>
            </w:hyperlink>
          </w:p>
        </w:tc>
        <w:tc>
          <w:tcPr>
            <w:tcW w:w="4138" w:type="pct"/>
            <w:tcBorders>
              <w:top w:val="nil"/>
              <w:left w:val="nil"/>
              <w:bottom w:val="nil"/>
              <w:right w:val="single" w:sz="48" w:space="0" w:color="E2F2FF"/>
            </w:tcBorders>
            <w:shd w:val="clear" w:color="auto" w:fill="E2F2FF"/>
          </w:tcPr>
          <w:p w14:paraId="115B7908" w14:textId="726F0298" w:rsidR="00885438" w:rsidRDefault="00D40D3E" w:rsidP="000B185D">
            <w:pPr>
              <w:spacing w:before="8" w:after="8" w:line="235" w:lineRule="auto"/>
              <w:rPr>
                <w:rFonts w:asciiTheme="majorHAnsi" w:hAnsiTheme="majorHAnsi" w:cstheme="majorHAnsi"/>
                <w:sz w:val="20"/>
                <w:szCs w:val="20"/>
                <w:lang w:val="fr-FR"/>
              </w:rPr>
            </w:pPr>
            <w:r w:rsidRPr="00D40D3E">
              <w:rPr>
                <w:rFonts w:asciiTheme="majorHAnsi" w:hAnsiTheme="majorHAnsi" w:cstheme="majorHAnsi"/>
                <w:sz w:val="20"/>
                <w:szCs w:val="20"/>
                <w:lang w:val="fr-FR"/>
              </w:rPr>
              <w:t xml:space="preserve">Les informations ci-dessous </w:t>
            </w:r>
            <w:r w:rsidR="005575EB" w:rsidRPr="00D40D3E">
              <w:rPr>
                <w:rFonts w:asciiTheme="majorHAnsi" w:hAnsiTheme="majorHAnsi" w:cstheme="majorHAnsi"/>
                <w:sz w:val="20"/>
                <w:szCs w:val="20"/>
                <w:lang w:val="fr-FR"/>
              </w:rPr>
              <w:t>proviennent</w:t>
            </w:r>
            <w:r w:rsidRPr="00D40D3E">
              <w:rPr>
                <w:rFonts w:asciiTheme="majorHAnsi" w:hAnsiTheme="majorHAnsi" w:cstheme="majorHAnsi"/>
                <w:sz w:val="20"/>
                <w:szCs w:val="20"/>
                <w:lang w:val="fr-FR"/>
              </w:rPr>
              <w:t xml:space="preserve"> de l’association britannique de médecine pallia</w:t>
            </w:r>
            <w:r>
              <w:rPr>
                <w:rFonts w:asciiTheme="majorHAnsi" w:hAnsiTheme="majorHAnsi" w:cstheme="majorHAnsi"/>
                <w:sz w:val="20"/>
                <w:szCs w:val="20"/>
                <w:lang w:val="fr-FR"/>
              </w:rPr>
              <w:t>tive et des recommandations de l’OMS</w:t>
            </w:r>
            <w:r w:rsidR="00885438" w:rsidRPr="00D40D3E">
              <w:rPr>
                <w:rFonts w:asciiTheme="majorHAnsi" w:hAnsiTheme="majorHAnsi" w:cstheme="majorHAnsi"/>
                <w:sz w:val="20"/>
                <w:szCs w:val="20"/>
                <w:lang w:val="fr-FR"/>
              </w:rPr>
              <w:t xml:space="preserve"> </w:t>
            </w:r>
            <w:r>
              <w:rPr>
                <w:rFonts w:asciiTheme="majorHAnsi" w:hAnsiTheme="majorHAnsi" w:cstheme="majorHAnsi"/>
                <w:sz w:val="20"/>
                <w:szCs w:val="20"/>
                <w:lang w:val="fr-FR"/>
              </w:rPr>
              <w:t>(voir note de bas de page</w:t>
            </w:r>
            <w:r w:rsidR="00885438" w:rsidRPr="00D40D3E">
              <w:rPr>
                <w:rFonts w:asciiTheme="majorHAnsi" w:hAnsiTheme="majorHAnsi" w:cstheme="majorHAnsi"/>
                <w:sz w:val="20"/>
                <w:szCs w:val="20"/>
                <w:lang w:val="fr-FR"/>
              </w:rPr>
              <w:t>)</w:t>
            </w:r>
            <w:r>
              <w:rPr>
                <w:rFonts w:asciiTheme="majorHAnsi" w:hAnsiTheme="majorHAnsi" w:cstheme="majorHAnsi"/>
                <w:sz w:val="20"/>
                <w:szCs w:val="20"/>
                <w:lang w:val="fr-FR"/>
              </w:rPr>
              <w:t>.</w:t>
            </w:r>
          </w:p>
          <w:p w14:paraId="0DD69133" w14:textId="77777777" w:rsidR="005575EB" w:rsidRDefault="005575EB" w:rsidP="005575EB">
            <w:pPr>
              <w:rPr>
                <w:rFonts w:ascii="Arial" w:hAnsi="Arial" w:cs="Arial"/>
                <w:sz w:val="20"/>
                <w:szCs w:val="20"/>
                <w:lang w:val="fr-FR"/>
              </w:rPr>
            </w:pPr>
            <w:r>
              <w:rPr>
                <w:rFonts w:ascii="Arial" w:hAnsi="Arial" w:cs="Arial"/>
                <w:sz w:val="20"/>
                <w:szCs w:val="20"/>
                <w:lang w:val="fr-FR"/>
              </w:rPr>
              <w:t xml:space="preserve">D’une façon générale, la prise en charge des symptômes physiques des patients atteints de COVID-19 doivent être orientés par : </w:t>
            </w:r>
          </w:p>
          <w:p w14:paraId="7B8CF9D6" w14:textId="77777777" w:rsidR="005575EB" w:rsidRDefault="005575EB" w:rsidP="005575EB">
            <w:pPr>
              <w:rPr>
                <w:rFonts w:ascii="Arial" w:hAnsi="Arial" w:cs="Arial"/>
                <w:sz w:val="20"/>
                <w:szCs w:val="20"/>
                <w:lang w:val="fr-FR"/>
              </w:rPr>
            </w:pPr>
            <w:r>
              <w:rPr>
                <w:rFonts w:ascii="Arial" w:hAnsi="Arial" w:cs="Arial"/>
                <w:sz w:val="20"/>
                <w:szCs w:val="20"/>
                <w:lang w:val="fr-FR"/>
              </w:rPr>
              <w:t>-des soins de supports (</w:t>
            </w:r>
            <w:proofErr w:type="spellStart"/>
            <w:r>
              <w:rPr>
                <w:rFonts w:ascii="Arial" w:hAnsi="Arial" w:cs="Arial"/>
                <w:sz w:val="20"/>
                <w:szCs w:val="20"/>
                <w:lang w:val="fr-FR"/>
              </w:rPr>
              <w:t>hydradation</w:t>
            </w:r>
            <w:proofErr w:type="spellEnd"/>
            <w:r>
              <w:rPr>
                <w:rFonts w:ascii="Arial" w:hAnsi="Arial" w:cs="Arial"/>
                <w:sz w:val="20"/>
                <w:szCs w:val="20"/>
                <w:lang w:val="fr-FR"/>
              </w:rPr>
              <w:t>, oxygène)</w:t>
            </w:r>
          </w:p>
          <w:p w14:paraId="6A597C4D" w14:textId="77777777" w:rsidR="005575EB" w:rsidRDefault="005575EB" w:rsidP="005575EB">
            <w:pPr>
              <w:rPr>
                <w:rFonts w:ascii="Arial" w:hAnsi="Arial" w:cs="Arial"/>
                <w:sz w:val="20"/>
                <w:szCs w:val="20"/>
                <w:lang w:val="fr-FR"/>
              </w:rPr>
            </w:pPr>
            <w:r>
              <w:rPr>
                <w:rFonts w:ascii="Arial" w:hAnsi="Arial" w:cs="Arial"/>
                <w:sz w:val="20"/>
                <w:szCs w:val="20"/>
                <w:lang w:val="fr-FR"/>
              </w:rPr>
              <w:t>-des traitements ciblés (par exemple des antibiotiques pour traiter une pneumonie)</w:t>
            </w:r>
          </w:p>
          <w:p w14:paraId="06029607" w14:textId="77777777" w:rsidR="005575EB" w:rsidRDefault="005575EB" w:rsidP="005575EB">
            <w:pPr>
              <w:rPr>
                <w:rFonts w:ascii="Arial" w:hAnsi="Arial" w:cs="Arial"/>
                <w:sz w:val="20"/>
                <w:szCs w:val="20"/>
                <w:lang w:val="fr-FR"/>
              </w:rPr>
            </w:pPr>
            <w:r>
              <w:rPr>
                <w:rFonts w:ascii="Arial" w:hAnsi="Arial" w:cs="Arial"/>
                <w:sz w:val="20"/>
                <w:szCs w:val="20"/>
                <w:lang w:val="fr-FR"/>
              </w:rPr>
              <w:t xml:space="preserve">-un soutien aux dysfonctions d’organes (ventilation, dialyse, </w:t>
            </w:r>
            <w:proofErr w:type="spellStart"/>
            <w:r>
              <w:rPr>
                <w:rFonts w:ascii="Arial" w:hAnsi="Arial" w:cs="Arial"/>
                <w:sz w:val="20"/>
                <w:szCs w:val="20"/>
                <w:lang w:val="fr-FR"/>
              </w:rPr>
              <w:t>etc</w:t>
            </w:r>
            <w:proofErr w:type="spellEnd"/>
            <w:r>
              <w:rPr>
                <w:rFonts w:ascii="Arial" w:hAnsi="Arial" w:cs="Arial"/>
                <w:sz w:val="20"/>
                <w:szCs w:val="20"/>
                <w:lang w:val="fr-FR"/>
              </w:rPr>
              <w:t>)</w:t>
            </w:r>
            <w:r w:rsidRPr="00100D24">
              <w:rPr>
                <w:rFonts w:ascii="Arial" w:hAnsi="Arial" w:cs="Arial"/>
                <w:sz w:val="20"/>
                <w:szCs w:val="20"/>
                <w:lang w:val="fr-FR"/>
              </w:rPr>
              <w:t xml:space="preserve"> </w:t>
            </w:r>
          </w:p>
          <w:p w14:paraId="2C424E48" w14:textId="77777777" w:rsidR="005575EB" w:rsidRDefault="005575EB" w:rsidP="005575EB">
            <w:pPr>
              <w:rPr>
                <w:rFonts w:ascii="Arial" w:hAnsi="Arial" w:cs="Arial"/>
                <w:b/>
                <w:sz w:val="20"/>
                <w:szCs w:val="20"/>
                <w:u w:val="single"/>
                <w:lang w:val="fr-FR"/>
              </w:rPr>
            </w:pPr>
          </w:p>
          <w:p w14:paraId="06C1DB6E" w14:textId="77777777" w:rsidR="005575EB" w:rsidRDefault="005575EB" w:rsidP="005575EB">
            <w:pPr>
              <w:rPr>
                <w:rFonts w:ascii="Arial" w:hAnsi="Arial" w:cs="Arial"/>
                <w:sz w:val="20"/>
                <w:szCs w:val="20"/>
                <w:lang w:val="fr-FR"/>
              </w:rPr>
            </w:pPr>
            <w:r>
              <w:rPr>
                <w:rFonts w:ascii="Arial" w:hAnsi="Arial" w:cs="Arial"/>
                <w:sz w:val="20"/>
                <w:szCs w:val="20"/>
                <w:lang w:val="fr-FR"/>
              </w:rPr>
              <w:t>Il est important de se souvenir que la très grande majorité des personnes souffrant de la COVID vont se rétablir.</w:t>
            </w:r>
          </w:p>
          <w:p w14:paraId="560BB213" w14:textId="77777777" w:rsidR="005575EB" w:rsidRDefault="005575EB" w:rsidP="005575EB">
            <w:pPr>
              <w:rPr>
                <w:rFonts w:ascii="Arial" w:hAnsi="Arial" w:cs="Arial"/>
                <w:b/>
                <w:sz w:val="20"/>
                <w:szCs w:val="20"/>
                <w:u w:val="single"/>
                <w:lang w:val="fr-FR"/>
              </w:rPr>
            </w:pPr>
          </w:p>
          <w:p w14:paraId="19BB55B3" w14:textId="77777777" w:rsidR="005575EB" w:rsidRDefault="005575EB" w:rsidP="005575EB">
            <w:pPr>
              <w:rPr>
                <w:rFonts w:ascii="Arial" w:hAnsi="Arial" w:cs="Arial"/>
                <w:bCs/>
                <w:sz w:val="20"/>
                <w:szCs w:val="20"/>
                <w:lang w:val="fr-FR"/>
              </w:rPr>
            </w:pPr>
            <w:r>
              <w:rPr>
                <w:rFonts w:ascii="Arial" w:hAnsi="Arial" w:cs="Arial"/>
                <w:bCs/>
                <w:sz w:val="20"/>
                <w:szCs w:val="20"/>
                <w:lang w:val="fr-FR"/>
              </w:rPr>
              <w:t xml:space="preserve">Si le risque de défaillance d’organe est élevé, le monitoring des fonctions vitales doit être effectué précocement. </w:t>
            </w:r>
          </w:p>
          <w:p w14:paraId="42D382DA" w14:textId="77777777" w:rsidR="005575EB" w:rsidRPr="002D1DE8" w:rsidRDefault="005575EB" w:rsidP="005575EB">
            <w:pPr>
              <w:rPr>
                <w:rFonts w:ascii="Arial" w:hAnsi="Arial" w:cs="Arial"/>
                <w:bCs/>
                <w:sz w:val="20"/>
                <w:szCs w:val="20"/>
                <w:lang w:val="fr-FR"/>
              </w:rPr>
            </w:pPr>
          </w:p>
          <w:p w14:paraId="474FC255" w14:textId="77777777" w:rsidR="005575EB" w:rsidRDefault="005575EB" w:rsidP="005575EB">
            <w:pPr>
              <w:rPr>
                <w:rFonts w:ascii="Arial" w:hAnsi="Arial" w:cs="Arial"/>
                <w:sz w:val="20"/>
                <w:szCs w:val="20"/>
                <w:lang w:val="fr-FR"/>
              </w:rPr>
            </w:pPr>
            <w:r w:rsidRPr="00310F47">
              <w:rPr>
                <w:rFonts w:ascii="Arial" w:hAnsi="Arial" w:cs="Arial"/>
                <w:sz w:val="20"/>
                <w:szCs w:val="20"/>
                <w:lang w:val="fr-FR"/>
              </w:rPr>
              <w:t>Les patients du Royaume</w:t>
            </w:r>
            <w:r>
              <w:rPr>
                <w:rFonts w:ascii="Arial" w:hAnsi="Arial" w:cs="Arial"/>
                <w:sz w:val="20"/>
                <w:szCs w:val="20"/>
                <w:lang w:val="fr-FR"/>
              </w:rPr>
              <w:t>-</w:t>
            </w:r>
            <w:r w:rsidRPr="00310F47">
              <w:rPr>
                <w:rFonts w:ascii="Arial" w:hAnsi="Arial" w:cs="Arial"/>
                <w:sz w:val="20"/>
                <w:szCs w:val="20"/>
                <w:lang w:val="fr-FR"/>
              </w:rPr>
              <w:t>Uni ont la possibilité d’établir un « plan de soins avancés COVID19 », qui collige les préférences des patients en cas de forme sévère de COVID</w:t>
            </w:r>
            <w:r>
              <w:rPr>
                <w:rFonts w:ascii="Arial" w:hAnsi="Arial" w:cs="Arial"/>
                <w:sz w:val="20"/>
                <w:szCs w:val="20"/>
                <w:lang w:val="fr-FR"/>
              </w:rPr>
              <w:t xml:space="preserve">. </w:t>
            </w:r>
          </w:p>
          <w:p w14:paraId="59DF0840" w14:textId="77777777" w:rsidR="005575EB" w:rsidRDefault="005575EB" w:rsidP="005575EB">
            <w:pPr>
              <w:rPr>
                <w:rFonts w:ascii="Arial" w:hAnsi="Arial" w:cs="Arial"/>
                <w:sz w:val="20"/>
                <w:szCs w:val="20"/>
                <w:lang w:val="fr-FR"/>
              </w:rPr>
            </w:pPr>
          </w:p>
          <w:p w14:paraId="5C4C6321" w14:textId="77777777" w:rsidR="005575EB" w:rsidRPr="00310F47" w:rsidRDefault="005575EB" w:rsidP="005575EB">
            <w:pPr>
              <w:rPr>
                <w:rFonts w:ascii="Arial" w:hAnsi="Arial" w:cs="Arial"/>
                <w:sz w:val="20"/>
                <w:szCs w:val="20"/>
                <w:lang w:val="fr-FR"/>
              </w:rPr>
            </w:pPr>
            <w:r>
              <w:rPr>
                <w:rFonts w:ascii="Arial" w:hAnsi="Arial" w:cs="Arial"/>
                <w:sz w:val="20"/>
                <w:szCs w:val="20"/>
                <w:lang w:val="fr-FR"/>
              </w:rPr>
              <w:t xml:space="preserve">Les patients avec une </w:t>
            </w:r>
            <w:proofErr w:type="spellStart"/>
            <w:r>
              <w:rPr>
                <w:rFonts w:ascii="Arial" w:hAnsi="Arial" w:cs="Arial"/>
                <w:sz w:val="20"/>
                <w:szCs w:val="20"/>
                <w:lang w:val="fr-FR"/>
              </w:rPr>
              <w:t>une</w:t>
            </w:r>
            <w:proofErr w:type="spellEnd"/>
            <w:r>
              <w:rPr>
                <w:rFonts w:ascii="Arial" w:hAnsi="Arial" w:cs="Arial"/>
                <w:sz w:val="20"/>
                <w:szCs w:val="20"/>
                <w:lang w:val="fr-FR"/>
              </w:rPr>
              <w:t xml:space="preserve"> limitation ou arrêt des traitements doivent être identifiés </w:t>
            </w:r>
          </w:p>
          <w:p w14:paraId="7983C7B2" w14:textId="77777777" w:rsidR="005575EB" w:rsidRDefault="005575EB" w:rsidP="005575EB">
            <w:pPr>
              <w:rPr>
                <w:rFonts w:ascii="Arial" w:hAnsi="Arial" w:cs="Arial"/>
                <w:b/>
                <w:sz w:val="20"/>
                <w:szCs w:val="20"/>
                <w:u w:val="single"/>
                <w:lang w:val="fr-FR"/>
              </w:rPr>
            </w:pPr>
          </w:p>
          <w:p w14:paraId="4F90E848" w14:textId="77777777" w:rsidR="005575EB" w:rsidRDefault="005575EB" w:rsidP="005575EB">
            <w:pPr>
              <w:rPr>
                <w:rFonts w:ascii="Arial" w:hAnsi="Arial" w:cs="Arial"/>
                <w:bCs/>
                <w:sz w:val="20"/>
                <w:szCs w:val="20"/>
                <w:lang w:val="fr-FR"/>
              </w:rPr>
            </w:pPr>
            <w:r>
              <w:rPr>
                <w:rFonts w:ascii="Arial" w:hAnsi="Arial" w:cs="Arial"/>
                <w:bCs/>
                <w:sz w:val="20"/>
                <w:szCs w:val="20"/>
                <w:lang w:val="fr-FR"/>
              </w:rPr>
              <w:t xml:space="preserve">Au moment de la décision d’orienter en soins palliatifs, évaluer : </w:t>
            </w:r>
          </w:p>
          <w:p w14:paraId="052BEC4D" w14:textId="77777777" w:rsidR="005575EB" w:rsidRDefault="005575EB" w:rsidP="005575EB">
            <w:pPr>
              <w:rPr>
                <w:rFonts w:ascii="Arial" w:hAnsi="Arial" w:cs="Arial"/>
                <w:bCs/>
                <w:sz w:val="20"/>
                <w:szCs w:val="20"/>
                <w:lang w:val="fr-FR"/>
              </w:rPr>
            </w:pPr>
            <w:r>
              <w:rPr>
                <w:rFonts w:ascii="Arial" w:hAnsi="Arial" w:cs="Arial"/>
                <w:bCs/>
                <w:sz w:val="20"/>
                <w:szCs w:val="20"/>
                <w:lang w:val="fr-FR"/>
              </w:rPr>
              <w:t>-si les symptômes sont compatibles avec une telle prise en charge</w:t>
            </w:r>
          </w:p>
          <w:p w14:paraId="0114E6CC" w14:textId="77777777" w:rsidR="005575EB" w:rsidRDefault="005575EB" w:rsidP="005575EB">
            <w:pPr>
              <w:rPr>
                <w:rFonts w:ascii="Arial" w:hAnsi="Arial" w:cs="Arial"/>
                <w:bCs/>
                <w:sz w:val="20"/>
                <w:szCs w:val="20"/>
                <w:lang w:val="fr-FR"/>
              </w:rPr>
            </w:pPr>
            <w:r>
              <w:rPr>
                <w:rFonts w:ascii="Arial" w:hAnsi="Arial" w:cs="Arial"/>
                <w:bCs/>
                <w:sz w:val="20"/>
                <w:szCs w:val="20"/>
                <w:lang w:val="fr-FR"/>
              </w:rPr>
              <w:t>-si des symptômes complexes requièrent l’avis d’un spécialiste</w:t>
            </w:r>
          </w:p>
          <w:p w14:paraId="19E6C2A7" w14:textId="77777777" w:rsidR="005575EB" w:rsidRDefault="005575EB" w:rsidP="005575EB">
            <w:pPr>
              <w:rPr>
                <w:rFonts w:ascii="Arial" w:hAnsi="Arial" w:cs="Arial"/>
                <w:bCs/>
                <w:sz w:val="20"/>
                <w:szCs w:val="20"/>
                <w:lang w:val="fr-FR"/>
              </w:rPr>
            </w:pPr>
            <w:r>
              <w:rPr>
                <w:rFonts w:ascii="Arial" w:hAnsi="Arial" w:cs="Arial"/>
                <w:bCs/>
                <w:sz w:val="20"/>
                <w:szCs w:val="20"/>
                <w:lang w:val="fr-FR"/>
              </w:rPr>
              <w:t>-s’il y a une décision de limitation /arrêt de traitement pour ce patient</w:t>
            </w:r>
          </w:p>
          <w:p w14:paraId="44C65065" w14:textId="77777777" w:rsidR="005575EB" w:rsidRDefault="005575EB" w:rsidP="005575EB">
            <w:pPr>
              <w:rPr>
                <w:rFonts w:ascii="Arial" w:hAnsi="Arial" w:cs="Arial"/>
                <w:bCs/>
                <w:sz w:val="20"/>
                <w:szCs w:val="20"/>
                <w:lang w:val="fr-FR"/>
              </w:rPr>
            </w:pPr>
            <w:r>
              <w:rPr>
                <w:rFonts w:ascii="Arial" w:hAnsi="Arial" w:cs="Arial"/>
                <w:bCs/>
                <w:sz w:val="20"/>
                <w:szCs w:val="20"/>
                <w:lang w:val="fr-FR"/>
              </w:rPr>
              <w:t xml:space="preserve">-si la situation présente des particularités : jeunes enfants, personnes vulnérables, </w:t>
            </w:r>
            <w:proofErr w:type="spellStart"/>
            <w:r>
              <w:rPr>
                <w:rFonts w:ascii="Arial" w:hAnsi="Arial" w:cs="Arial"/>
                <w:bCs/>
                <w:sz w:val="20"/>
                <w:szCs w:val="20"/>
                <w:lang w:val="fr-FR"/>
              </w:rPr>
              <w:t>etc</w:t>
            </w:r>
            <w:proofErr w:type="spellEnd"/>
          </w:p>
          <w:p w14:paraId="0706FBDD" w14:textId="77777777" w:rsidR="005575EB" w:rsidRDefault="005575EB" w:rsidP="005575EB">
            <w:pPr>
              <w:rPr>
                <w:rFonts w:ascii="Arial" w:hAnsi="Arial" w:cs="Arial"/>
                <w:bCs/>
                <w:sz w:val="20"/>
                <w:szCs w:val="20"/>
                <w:lang w:val="fr-FR"/>
              </w:rPr>
            </w:pPr>
          </w:p>
          <w:p w14:paraId="31F8FBE4" w14:textId="77777777" w:rsidR="005575EB" w:rsidRDefault="005575EB" w:rsidP="005575EB">
            <w:pPr>
              <w:rPr>
                <w:rFonts w:ascii="Arial" w:hAnsi="Arial" w:cs="Arial"/>
                <w:bCs/>
                <w:sz w:val="20"/>
                <w:szCs w:val="20"/>
                <w:lang w:val="fr-FR"/>
              </w:rPr>
            </w:pPr>
            <w:r>
              <w:rPr>
                <w:rFonts w:ascii="Arial" w:hAnsi="Arial" w:cs="Arial"/>
                <w:bCs/>
                <w:sz w:val="20"/>
                <w:szCs w:val="20"/>
                <w:lang w:val="fr-FR"/>
              </w:rPr>
              <w:t xml:space="preserve">Soulager les symptômes de la COVID tels que : </w:t>
            </w:r>
          </w:p>
          <w:p w14:paraId="37E432EB" w14:textId="77777777" w:rsidR="005575EB" w:rsidRDefault="005575EB" w:rsidP="005575EB">
            <w:pPr>
              <w:rPr>
                <w:rFonts w:ascii="Arial" w:hAnsi="Arial" w:cs="Arial"/>
                <w:bCs/>
                <w:sz w:val="20"/>
                <w:szCs w:val="20"/>
                <w:lang w:val="fr-FR"/>
              </w:rPr>
            </w:pPr>
            <w:r>
              <w:rPr>
                <w:rFonts w:ascii="Arial" w:hAnsi="Arial" w:cs="Arial"/>
                <w:bCs/>
                <w:sz w:val="20"/>
                <w:szCs w:val="20"/>
                <w:lang w:val="fr-FR"/>
              </w:rPr>
              <w:lastRenderedPageBreak/>
              <w:t>-dyspnée</w:t>
            </w:r>
          </w:p>
          <w:p w14:paraId="48823A16" w14:textId="77777777" w:rsidR="005575EB" w:rsidRDefault="005575EB" w:rsidP="005575EB">
            <w:pPr>
              <w:rPr>
                <w:rFonts w:ascii="Arial" w:hAnsi="Arial" w:cs="Arial"/>
                <w:bCs/>
                <w:sz w:val="20"/>
                <w:szCs w:val="20"/>
                <w:lang w:val="fr-FR"/>
              </w:rPr>
            </w:pPr>
            <w:r>
              <w:rPr>
                <w:rFonts w:ascii="Arial" w:hAnsi="Arial" w:cs="Arial"/>
                <w:bCs/>
                <w:sz w:val="20"/>
                <w:szCs w:val="20"/>
                <w:lang w:val="fr-FR"/>
              </w:rPr>
              <w:t>-toux</w:t>
            </w:r>
          </w:p>
          <w:p w14:paraId="46FB3A3B" w14:textId="77777777" w:rsidR="005575EB" w:rsidRDefault="005575EB" w:rsidP="005575EB">
            <w:pPr>
              <w:rPr>
                <w:rFonts w:ascii="Arial" w:hAnsi="Arial" w:cs="Arial"/>
                <w:bCs/>
                <w:sz w:val="20"/>
                <w:szCs w:val="20"/>
                <w:lang w:val="fr-FR"/>
              </w:rPr>
            </w:pPr>
            <w:r>
              <w:rPr>
                <w:rFonts w:ascii="Arial" w:hAnsi="Arial" w:cs="Arial"/>
                <w:bCs/>
                <w:sz w:val="20"/>
                <w:szCs w:val="20"/>
                <w:lang w:val="fr-FR"/>
              </w:rPr>
              <w:t>-fièvre</w:t>
            </w:r>
          </w:p>
          <w:p w14:paraId="2EF5B3EA" w14:textId="77777777" w:rsidR="005575EB" w:rsidRDefault="005575EB" w:rsidP="005575EB">
            <w:pPr>
              <w:rPr>
                <w:rFonts w:ascii="Arial" w:hAnsi="Arial" w:cs="Arial"/>
                <w:bCs/>
                <w:sz w:val="20"/>
                <w:szCs w:val="20"/>
                <w:lang w:val="fr-FR"/>
              </w:rPr>
            </w:pPr>
            <w:r>
              <w:rPr>
                <w:rFonts w:ascii="Arial" w:hAnsi="Arial" w:cs="Arial"/>
                <w:bCs/>
                <w:sz w:val="20"/>
                <w:szCs w:val="20"/>
                <w:lang w:val="fr-FR"/>
              </w:rPr>
              <w:t>-confusion</w:t>
            </w:r>
          </w:p>
          <w:p w14:paraId="2303E09E" w14:textId="77777777" w:rsidR="005575EB" w:rsidRDefault="005575EB" w:rsidP="005575EB">
            <w:pPr>
              <w:rPr>
                <w:rFonts w:ascii="Arial" w:hAnsi="Arial" w:cs="Arial"/>
                <w:bCs/>
                <w:sz w:val="20"/>
                <w:szCs w:val="20"/>
                <w:lang w:val="fr-FR"/>
              </w:rPr>
            </w:pPr>
            <w:r>
              <w:rPr>
                <w:rFonts w:ascii="Arial" w:hAnsi="Arial" w:cs="Arial"/>
                <w:bCs/>
                <w:sz w:val="20"/>
                <w:szCs w:val="20"/>
                <w:lang w:val="fr-FR"/>
              </w:rPr>
              <w:t>Le traitement des autres symptômes tels que la douleur doit aussi être réalisé en accord avec les recommandations locales</w:t>
            </w:r>
          </w:p>
          <w:p w14:paraId="66CCC13F" w14:textId="77777777" w:rsidR="005575EB" w:rsidRDefault="005575EB" w:rsidP="005575EB">
            <w:pPr>
              <w:rPr>
                <w:rFonts w:ascii="Arial" w:hAnsi="Arial" w:cs="Arial"/>
                <w:bCs/>
                <w:sz w:val="20"/>
                <w:szCs w:val="20"/>
                <w:lang w:val="fr-FR"/>
              </w:rPr>
            </w:pPr>
          </w:p>
          <w:p w14:paraId="581E8266" w14:textId="77777777" w:rsidR="005575EB" w:rsidRPr="002D3796" w:rsidRDefault="005575EB" w:rsidP="005575EB">
            <w:pPr>
              <w:rPr>
                <w:rFonts w:ascii="Arial" w:hAnsi="Arial" w:cs="Arial"/>
                <w:bCs/>
                <w:sz w:val="20"/>
                <w:szCs w:val="20"/>
                <w:lang w:val="fr-FR"/>
              </w:rPr>
            </w:pPr>
            <w:r>
              <w:rPr>
                <w:rFonts w:ascii="Arial" w:hAnsi="Arial" w:cs="Arial"/>
                <w:bCs/>
                <w:sz w:val="20"/>
                <w:szCs w:val="20"/>
                <w:lang w:val="fr-FR"/>
              </w:rPr>
              <w:t>En cas de maintien nécessaire du patient dans un service de psychiatrie, certains traitements pourraient être difficilement administrés (comme par exemple l’utilisation de pousse-seringue). D’autres voies d’administration peuvent être envisagées.</w:t>
            </w:r>
          </w:p>
          <w:p w14:paraId="27C363C0" w14:textId="77777777" w:rsidR="005575EB" w:rsidRPr="00D40D3E" w:rsidRDefault="005575EB" w:rsidP="000B185D">
            <w:pPr>
              <w:spacing w:before="8" w:after="8" w:line="235" w:lineRule="auto"/>
              <w:rPr>
                <w:rFonts w:asciiTheme="majorHAnsi" w:hAnsiTheme="majorHAnsi" w:cstheme="majorHAnsi"/>
                <w:sz w:val="20"/>
                <w:szCs w:val="20"/>
                <w:lang w:val="fr-FR"/>
              </w:rPr>
            </w:pPr>
          </w:p>
          <w:p w14:paraId="0CC8DF03" w14:textId="19DC8DEA" w:rsidR="00117BAA" w:rsidRPr="00D40D3E" w:rsidRDefault="00117BAA" w:rsidP="000B185D">
            <w:pPr>
              <w:spacing w:before="8" w:after="8" w:line="235" w:lineRule="auto"/>
              <w:rPr>
                <w:rFonts w:asciiTheme="majorHAnsi" w:hAnsiTheme="majorHAnsi" w:cstheme="majorHAnsi"/>
                <w:sz w:val="20"/>
                <w:szCs w:val="20"/>
                <w:lang w:val="fr-FR"/>
              </w:rPr>
            </w:pPr>
          </w:p>
          <w:p w14:paraId="2831E605" w14:textId="77777777" w:rsidR="00692561" w:rsidRPr="00100D24" w:rsidRDefault="00692561" w:rsidP="00692561">
            <w:pPr>
              <w:rPr>
                <w:rFonts w:ascii="Arial" w:hAnsi="Arial" w:cs="Arial"/>
                <w:b/>
                <w:sz w:val="20"/>
                <w:szCs w:val="20"/>
                <w:u w:val="single"/>
                <w:lang w:val="fr-FR"/>
              </w:rPr>
            </w:pPr>
            <w:r w:rsidRPr="00100D24">
              <w:rPr>
                <w:rFonts w:ascii="Arial" w:hAnsi="Arial" w:cs="Arial"/>
                <w:b/>
                <w:sz w:val="20"/>
                <w:szCs w:val="20"/>
                <w:u w:val="single"/>
                <w:lang w:val="fr-FR"/>
              </w:rPr>
              <w:t>Points généraux :</w:t>
            </w:r>
          </w:p>
          <w:p w14:paraId="1D522616" w14:textId="77777777" w:rsidR="00692561" w:rsidRDefault="00692561" w:rsidP="00692561">
            <w:pPr>
              <w:pStyle w:val="Paragraphedeliste"/>
              <w:numPr>
                <w:ilvl w:val="0"/>
                <w:numId w:val="31"/>
              </w:numPr>
              <w:rPr>
                <w:rFonts w:ascii="Arial" w:hAnsi="Arial" w:cs="Arial"/>
                <w:sz w:val="20"/>
                <w:szCs w:val="20"/>
                <w:lang w:val="fr-FR"/>
              </w:rPr>
            </w:pPr>
            <w:r w:rsidRPr="00100D24">
              <w:rPr>
                <w:rFonts w:ascii="Arial" w:hAnsi="Arial" w:cs="Arial"/>
                <w:sz w:val="20"/>
                <w:szCs w:val="20"/>
                <w:lang w:val="fr-FR"/>
              </w:rPr>
              <w:t xml:space="preserve">Il convient d'accorder la plus grande attention et le plus grand soin à la sécurité des autres patients, des visiteurs et du personnel en maintenant des procédures de contrôle des infections à tout moment. </w:t>
            </w:r>
          </w:p>
          <w:p w14:paraId="738BCC6B" w14:textId="77777777" w:rsidR="00692561" w:rsidRDefault="00692561" w:rsidP="00692561">
            <w:pPr>
              <w:pStyle w:val="Paragraphedeliste"/>
              <w:numPr>
                <w:ilvl w:val="0"/>
                <w:numId w:val="31"/>
              </w:numPr>
              <w:rPr>
                <w:rFonts w:ascii="Arial" w:hAnsi="Arial" w:cs="Arial"/>
                <w:sz w:val="20"/>
                <w:szCs w:val="20"/>
                <w:lang w:val="fr-FR"/>
              </w:rPr>
            </w:pPr>
            <w:r>
              <w:rPr>
                <w:rFonts w:ascii="Arial" w:hAnsi="Arial" w:cs="Arial"/>
                <w:sz w:val="20"/>
                <w:szCs w:val="20"/>
                <w:lang w:val="fr-FR"/>
              </w:rPr>
              <w:t xml:space="preserve">Les </w:t>
            </w:r>
            <w:r w:rsidRPr="00100D24">
              <w:rPr>
                <w:rFonts w:ascii="Arial" w:hAnsi="Arial" w:cs="Arial"/>
                <w:sz w:val="20"/>
                <w:szCs w:val="20"/>
                <w:lang w:val="fr-FR"/>
              </w:rPr>
              <w:t>équipes mortuaires peuvent être contactés pour obtenir un soutien et des conseils supplémentaires.</w:t>
            </w:r>
          </w:p>
          <w:p w14:paraId="552E0813" w14:textId="77777777" w:rsidR="00692561" w:rsidRDefault="00692561" w:rsidP="00692561">
            <w:pPr>
              <w:pStyle w:val="Paragraphedeliste"/>
              <w:numPr>
                <w:ilvl w:val="0"/>
                <w:numId w:val="31"/>
              </w:numPr>
              <w:rPr>
                <w:rFonts w:ascii="Arial" w:hAnsi="Arial" w:cs="Arial"/>
                <w:sz w:val="20"/>
                <w:szCs w:val="20"/>
                <w:lang w:val="fr-FR"/>
              </w:rPr>
            </w:pPr>
            <w:r w:rsidRPr="00100D24">
              <w:rPr>
                <w:rFonts w:ascii="Arial" w:hAnsi="Arial" w:cs="Arial"/>
                <w:sz w:val="20"/>
                <w:szCs w:val="20"/>
                <w:lang w:val="fr-FR"/>
              </w:rPr>
              <w:t>Une documentation claire et complète doit être remplie.</w:t>
            </w:r>
          </w:p>
          <w:p w14:paraId="61F8AD9F" w14:textId="77777777" w:rsidR="00692561" w:rsidRDefault="00692561" w:rsidP="00692561">
            <w:pPr>
              <w:pStyle w:val="Paragraphedeliste"/>
              <w:numPr>
                <w:ilvl w:val="0"/>
                <w:numId w:val="31"/>
              </w:numPr>
              <w:rPr>
                <w:rFonts w:ascii="Arial" w:hAnsi="Arial" w:cs="Arial"/>
                <w:sz w:val="20"/>
                <w:szCs w:val="20"/>
                <w:lang w:val="fr-FR"/>
              </w:rPr>
            </w:pPr>
            <w:r>
              <w:rPr>
                <w:rFonts w:ascii="Arial" w:hAnsi="Arial" w:cs="Arial"/>
                <w:sz w:val="20"/>
                <w:szCs w:val="20"/>
                <w:lang w:val="fr-FR"/>
              </w:rPr>
              <w:t>La</w:t>
            </w:r>
            <w:r w:rsidRPr="00100D24">
              <w:rPr>
                <w:rFonts w:ascii="Arial" w:hAnsi="Arial" w:cs="Arial"/>
                <w:sz w:val="20"/>
                <w:szCs w:val="20"/>
                <w:lang w:val="fr-FR"/>
              </w:rPr>
              <w:t xml:space="preserve"> communication </w:t>
            </w:r>
            <w:r>
              <w:rPr>
                <w:rFonts w:ascii="Arial" w:hAnsi="Arial" w:cs="Arial"/>
                <w:sz w:val="20"/>
                <w:szCs w:val="20"/>
                <w:lang w:val="fr-FR"/>
              </w:rPr>
              <w:t xml:space="preserve">doit être </w:t>
            </w:r>
            <w:r w:rsidRPr="00100D24">
              <w:rPr>
                <w:rFonts w:ascii="Arial" w:hAnsi="Arial" w:cs="Arial"/>
                <w:sz w:val="20"/>
                <w:szCs w:val="20"/>
                <w:lang w:val="fr-FR"/>
              </w:rPr>
              <w:t>ouverte, honnête et claire avec les proches du défunt.</w:t>
            </w:r>
          </w:p>
          <w:p w14:paraId="1C299C1C" w14:textId="77777777" w:rsidR="00692561" w:rsidRPr="00100D24" w:rsidRDefault="00692561" w:rsidP="00692561">
            <w:pPr>
              <w:pStyle w:val="Paragraphedeliste"/>
              <w:numPr>
                <w:ilvl w:val="0"/>
                <w:numId w:val="31"/>
              </w:numPr>
              <w:rPr>
                <w:rFonts w:ascii="Arial" w:hAnsi="Arial" w:cs="Arial"/>
                <w:sz w:val="20"/>
                <w:szCs w:val="20"/>
                <w:lang w:val="fr-FR"/>
              </w:rPr>
            </w:pPr>
            <w:r>
              <w:rPr>
                <w:rFonts w:ascii="Arial" w:hAnsi="Arial" w:cs="Arial"/>
                <w:sz w:val="20"/>
                <w:szCs w:val="20"/>
                <w:lang w:val="fr-FR"/>
              </w:rPr>
              <w:t xml:space="preserve">Les </w:t>
            </w:r>
            <w:r w:rsidRPr="00100D24">
              <w:rPr>
                <w:rFonts w:ascii="Arial" w:hAnsi="Arial" w:cs="Arial"/>
                <w:sz w:val="20"/>
                <w:szCs w:val="20"/>
                <w:lang w:val="fr-FR"/>
              </w:rPr>
              <w:t>besoins émotionnels</w:t>
            </w:r>
            <w:r>
              <w:rPr>
                <w:rFonts w:ascii="Arial" w:hAnsi="Arial" w:cs="Arial"/>
                <w:sz w:val="20"/>
                <w:szCs w:val="20"/>
                <w:lang w:val="fr-FR"/>
              </w:rPr>
              <w:t xml:space="preserve">, </w:t>
            </w:r>
            <w:r w:rsidRPr="00100D24">
              <w:rPr>
                <w:rFonts w:ascii="Arial" w:hAnsi="Arial" w:cs="Arial"/>
                <w:sz w:val="20"/>
                <w:szCs w:val="20"/>
                <w:lang w:val="fr-FR"/>
              </w:rPr>
              <w:t>spirituels</w:t>
            </w:r>
            <w:r>
              <w:rPr>
                <w:rFonts w:ascii="Arial" w:hAnsi="Arial" w:cs="Arial"/>
                <w:sz w:val="20"/>
                <w:szCs w:val="20"/>
                <w:lang w:val="fr-FR"/>
              </w:rPr>
              <w:t xml:space="preserve"> et r</w:t>
            </w:r>
            <w:r w:rsidRPr="00100D24">
              <w:rPr>
                <w:rFonts w:ascii="Arial" w:hAnsi="Arial" w:cs="Arial"/>
                <w:sz w:val="20"/>
                <w:szCs w:val="20"/>
                <w:lang w:val="fr-FR"/>
              </w:rPr>
              <w:t>eligieux du défunt et de sa famille</w:t>
            </w:r>
            <w:r>
              <w:rPr>
                <w:rFonts w:ascii="Arial" w:hAnsi="Arial" w:cs="Arial"/>
                <w:sz w:val="20"/>
                <w:szCs w:val="20"/>
                <w:lang w:val="fr-FR"/>
              </w:rPr>
              <w:t xml:space="preserve"> doivent être pris en compte.</w:t>
            </w:r>
          </w:p>
          <w:p w14:paraId="03568E81" w14:textId="77777777" w:rsidR="00692561" w:rsidRPr="00100D24" w:rsidRDefault="00692561" w:rsidP="00692561">
            <w:pPr>
              <w:rPr>
                <w:rFonts w:ascii="Arial" w:hAnsi="Arial" w:cs="Arial"/>
                <w:sz w:val="20"/>
                <w:szCs w:val="20"/>
                <w:lang w:val="fr-FR"/>
              </w:rPr>
            </w:pPr>
          </w:p>
          <w:p w14:paraId="2AA5A469" w14:textId="77777777" w:rsidR="00692561" w:rsidRPr="00100D24" w:rsidRDefault="00692561" w:rsidP="00692561">
            <w:pPr>
              <w:rPr>
                <w:rFonts w:ascii="Arial" w:hAnsi="Arial" w:cs="Arial"/>
                <w:b/>
                <w:sz w:val="20"/>
                <w:szCs w:val="20"/>
                <w:u w:val="single"/>
                <w:lang w:val="fr-FR"/>
              </w:rPr>
            </w:pPr>
            <w:r w:rsidRPr="00100D24">
              <w:rPr>
                <w:rFonts w:ascii="Arial" w:hAnsi="Arial" w:cs="Arial"/>
                <w:b/>
                <w:sz w:val="20"/>
                <w:szCs w:val="20"/>
                <w:u w:val="single"/>
                <w:lang w:val="fr-FR"/>
              </w:rPr>
              <w:t xml:space="preserve">Avant </w:t>
            </w:r>
            <w:r>
              <w:rPr>
                <w:rFonts w:ascii="Arial" w:hAnsi="Arial" w:cs="Arial"/>
                <w:b/>
                <w:sz w:val="20"/>
                <w:szCs w:val="20"/>
                <w:u w:val="single"/>
                <w:lang w:val="fr-FR"/>
              </w:rPr>
              <w:t>le</w:t>
            </w:r>
            <w:r w:rsidRPr="00100D24">
              <w:rPr>
                <w:rFonts w:ascii="Arial" w:hAnsi="Arial" w:cs="Arial"/>
                <w:b/>
                <w:sz w:val="20"/>
                <w:szCs w:val="20"/>
                <w:u w:val="single"/>
                <w:lang w:val="fr-FR"/>
              </w:rPr>
              <w:t xml:space="preserve"> décès :</w:t>
            </w:r>
          </w:p>
          <w:p w14:paraId="2FA116CE" w14:textId="77777777" w:rsidR="00692561" w:rsidRDefault="00692561" w:rsidP="00692561">
            <w:pPr>
              <w:pStyle w:val="Paragraphedeliste"/>
              <w:numPr>
                <w:ilvl w:val="0"/>
                <w:numId w:val="32"/>
              </w:numPr>
              <w:rPr>
                <w:rFonts w:ascii="Arial" w:hAnsi="Arial" w:cs="Arial"/>
                <w:sz w:val="20"/>
                <w:szCs w:val="20"/>
                <w:lang w:val="fr-FR"/>
              </w:rPr>
            </w:pPr>
            <w:r w:rsidRPr="00100D24">
              <w:rPr>
                <w:rFonts w:ascii="Arial" w:hAnsi="Arial" w:cs="Arial"/>
                <w:sz w:val="20"/>
                <w:szCs w:val="20"/>
                <w:lang w:val="fr-FR"/>
              </w:rPr>
              <w:t xml:space="preserve">Les décisions </w:t>
            </w:r>
            <w:r>
              <w:rPr>
                <w:rFonts w:ascii="Arial" w:hAnsi="Arial" w:cs="Arial"/>
                <w:sz w:val="20"/>
                <w:szCs w:val="20"/>
                <w:lang w:val="fr-FR"/>
              </w:rPr>
              <w:t>de limitation et d’arrêt des soins</w:t>
            </w:r>
            <w:r w:rsidRPr="00100D24">
              <w:rPr>
                <w:rFonts w:ascii="Arial" w:hAnsi="Arial" w:cs="Arial"/>
                <w:sz w:val="20"/>
                <w:szCs w:val="20"/>
                <w:lang w:val="fr-FR"/>
              </w:rPr>
              <w:t xml:space="preserve"> doivent être prises au cas par cas</w:t>
            </w:r>
            <w:r>
              <w:rPr>
                <w:rFonts w:ascii="Arial" w:hAnsi="Arial" w:cs="Arial"/>
                <w:sz w:val="20"/>
                <w:szCs w:val="20"/>
                <w:lang w:val="fr-FR"/>
              </w:rPr>
              <w:t xml:space="preserve">, en accord avec les considérations éthiques en vigueur </w:t>
            </w:r>
            <w:r w:rsidRPr="00100D24">
              <w:rPr>
                <w:rFonts w:ascii="Arial" w:hAnsi="Arial" w:cs="Arial"/>
                <w:sz w:val="20"/>
                <w:szCs w:val="20"/>
                <w:lang w:val="fr-FR"/>
              </w:rPr>
              <w:t xml:space="preserve">ainsi que </w:t>
            </w:r>
            <w:r>
              <w:rPr>
                <w:rFonts w:ascii="Arial" w:hAnsi="Arial" w:cs="Arial"/>
                <w:sz w:val="20"/>
                <w:szCs w:val="20"/>
                <w:lang w:val="fr-FR"/>
              </w:rPr>
              <w:t>l</w:t>
            </w:r>
            <w:r w:rsidRPr="00100D24">
              <w:rPr>
                <w:rFonts w:ascii="Arial" w:hAnsi="Arial" w:cs="Arial"/>
                <w:sz w:val="20"/>
                <w:szCs w:val="20"/>
                <w:lang w:val="fr-FR"/>
              </w:rPr>
              <w:t xml:space="preserve">es préférences et </w:t>
            </w:r>
            <w:r>
              <w:rPr>
                <w:rFonts w:ascii="Arial" w:hAnsi="Arial" w:cs="Arial"/>
                <w:sz w:val="20"/>
                <w:szCs w:val="20"/>
                <w:lang w:val="fr-FR"/>
              </w:rPr>
              <w:t>l</w:t>
            </w:r>
            <w:r w:rsidRPr="00100D24">
              <w:rPr>
                <w:rFonts w:ascii="Arial" w:hAnsi="Arial" w:cs="Arial"/>
                <w:sz w:val="20"/>
                <w:szCs w:val="20"/>
                <w:lang w:val="fr-FR"/>
              </w:rPr>
              <w:t>es souhaits du patient et de sa famille.</w:t>
            </w:r>
          </w:p>
          <w:p w14:paraId="51F49B53" w14:textId="77777777" w:rsidR="00692561" w:rsidRDefault="00692561" w:rsidP="00692561">
            <w:pPr>
              <w:pStyle w:val="Paragraphedeliste"/>
              <w:numPr>
                <w:ilvl w:val="0"/>
                <w:numId w:val="32"/>
              </w:numPr>
              <w:rPr>
                <w:rFonts w:ascii="Arial" w:hAnsi="Arial" w:cs="Arial"/>
                <w:sz w:val="20"/>
                <w:szCs w:val="20"/>
                <w:lang w:val="fr-FR"/>
              </w:rPr>
            </w:pPr>
            <w:r>
              <w:rPr>
                <w:rFonts w:ascii="Arial" w:hAnsi="Arial" w:cs="Arial"/>
                <w:sz w:val="20"/>
                <w:szCs w:val="20"/>
                <w:lang w:val="fr-FR"/>
              </w:rPr>
              <w:t xml:space="preserve">En fin de vie, un traitement approprié peut permettre un contrôle des symptômes. </w:t>
            </w:r>
          </w:p>
          <w:p w14:paraId="2FF7ABBA" w14:textId="77777777" w:rsidR="00692561" w:rsidRPr="00100D24" w:rsidRDefault="00692561" w:rsidP="00692561">
            <w:pPr>
              <w:pStyle w:val="Paragraphedeliste"/>
              <w:numPr>
                <w:ilvl w:val="0"/>
                <w:numId w:val="32"/>
              </w:numPr>
              <w:rPr>
                <w:rFonts w:ascii="Arial" w:hAnsi="Arial" w:cs="Arial"/>
                <w:sz w:val="20"/>
                <w:szCs w:val="20"/>
                <w:lang w:val="fr-FR"/>
              </w:rPr>
            </w:pPr>
            <w:r w:rsidRPr="00100D24">
              <w:rPr>
                <w:rFonts w:ascii="Arial" w:hAnsi="Arial" w:cs="Arial"/>
                <w:sz w:val="20"/>
                <w:szCs w:val="20"/>
                <w:lang w:val="fr-FR"/>
              </w:rPr>
              <w:t>Si le décès est imminent et que la famille souhaite rester avec son proche, le personnel doit l'informer qu</w:t>
            </w:r>
            <w:r>
              <w:rPr>
                <w:rFonts w:ascii="Arial" w:hAnsi="Arial" w:cs="Arial"/>
                <w:sz w:val="20"/>
                <w:szCs w:val="20"/>
                <w:lang w:val="fr-FR"/>
              </w:rPr>
              <w:t xml:space="preserve">’elle </w:t>
            </w:r>
            <w:r w:rsidRPr="00100D24">
              <w:rPr>
                <w:rFonts w:ascii="Arial" w:hAnsi="Arial" w:cs="Arial"/>
                <w:sz w:val="20"/>
                <w:szCs w:val="20"/>
                <w:lang w:val="fr-FR"/>
              </w:rPr>
              <w:t xml:space="preserve">doit porter un </w:t>
            </w:r>
            <w:r>
              <w:rPr>
                <w:rFonts w:ascii="Arial" w:hAnsi="Arial" w:cs="Arial"/>
                <w:sz w:val="20"/>
                <w:szCs w:val="20"/>
                <w:lang w:val="fr-FR"/>
              </w:rPr>
              <w:t>équipement de protection individuelle</w:t>
            </w:r>
            <w:r w:rsidRPr="00100D24">
              <w:rPr>
                <w:rFonts w:ascii="Arial" w:hAnsi="Arial" w:cs="Arial"/>
                <w:sz w:val="20"/>
                <w:szCs w:val="20"/>
                <w:lang w:val="fr-FR"/>
              </w:rPr>
              <w:t xml:space="preserve"> complet.</w:t>
            </w:r>
          </w:p>
          <w:p w14:paraId="4B83B99D" w14:textId="77777777" w:rsidR="00692561" w:rsidRPr="00100D24" w:rsidRDefault="00692561" w:rsidP="00692561">
            <w:pPr>
              <w:rPr>
                <w:rFonts w:ascii="Arial" w:hAnsi="Arial" w:cs="Arial"/>
                <w:sz w:val="20"/>
                <w:szCs w:val="20"/>
                <w:lang w:val="fr-FR"/>
              </w:rPr>
            </w:pPr>
          </w:p>
          <w:p w14:paraId="17749AF9" w14:textId="77777777" w:rsidR="00692561" w:rsidRPr="00100D24" w:rsidRDefault="00692561" w:rsidP="00692561">
            <w:pPr>
              <w:rPr>
                <w:rFonts w:ascii="Arial" w:hAnsi="Arial" w:cs="Arial"/>
                <w:b/>
                <w:sz w:val="20"/>
                <w:szCs w:val="20"/>
                <w:u w:val="single"/>
                <w:lang w:val="fr-FR"/>
              </w:rPr>
            </w:pPr>
            <w:r w:rsidRPr="00100D24">
              <w:rPr>
                <w:rFonts w:ascii="Arial" w:hAnsi="Arial" w:cs="Arial"/>
                <w:b/>
                <w:sz w:val="20"/>
                <w:szCs w:val="20"/>
                <w:u w:val="single"/>
                <w:lang w:val="fr-FR"/>
              </w:rPr>
              <w:t>Au moment du décès</w:t>
            </w:r>
            <w:r>
              <w:rPr>
                <w:rFonts w:ascii="Arial" w:hAnsi="Arial" w:cs="Arial"/>
                <w:b/>
                <w:sz w:val="20"/>
                <w:szCs w:val="20"/>
                <w:u w:val="single"/>
                <w:lang w:val="fr-FR"/>
              </w:rPr>
              <w:t> :</w:t>
            </w:r>
          </w:p>
          <w:p w14:paraId="6F69FB40" w14:textId="77777777" w:rsidR="00692561" w:rsidRDefault="00692561" w:rsidP="00692561">
            <w:pPr>
              <w:pStyle w:val="Paragraphedeliste"/>
              <w:numPr>
                <w:ilvl w:val="0"/>
                <w:numId w:val="33"/>
              </w:numPr>
              <w:rPr>
                <w:rFonts w:ascii="Arial" w:hAnsi="Arial" w:cs="Arial"/>
                <w:sz w:val="20"/>
                <w:szCs w:val="20"/>
                <w:lang w:val="fr-FR"/>
              </w:rPr>
            </w:pPr>
            <w:r w:rsidRPr="00100D24">
              <w:rPr>
                <w:rFonts w:ascii="Arial" w:hAnsi="Arial" w:cs="Arial"/>
                <w:sz w:val="20"/>
                <w:szCs w:val="20"/>
                <w:lang w:val="fr-FR"/>
              </w:rPr>
              <w:t>I</w:t>
            </w:r>
            <w:r>
              <w:rPr>
                <w:rFonts w:ascii="Arial" w:hAnsi="Arial" w:cs="Arial"/>
                <w:sz w:val="20"/>
                <w:szCs w:val="20"/>
                <w:lang w:val="fr-FR"/>
              </w:rPr>
              <w:t>l est crucial d’i</w:t>
            </w:r>
            <w:r w:rsidRPr="00100D24">
              <w:rPr>
                <w:rFonts w:ascii="Arial" w:hAnsi="Arial" w:cs="Arial"/>
                <w:sz w:val="20"/>
                <w:szCs w:val="20"/>
                <w:lang w:val="fr-FR"/>
              </w:rPr>
              <w:t xml:space="preserve">nformer et </w:t>
            </w:r>
            <w:r>
              <w:rPr>
                <w:rFonts w:ascii="Arial" w:hAnsi="Arial" w:cs="Arial"/>
                <w:sz w:val="20"/>
                <w:szCs w:val="20"/>
                <w:lang w:val="fr-FR"/>
              </w:rPr>
              <w:t xml:space="preserve">de </w:t>
            </w:r>
            <w:r w:rsidRPr="00100D24">
              <w:rPr>
                <w:rFonts w:ascii="Arial" w:hAnsi="Arial" w:cs="Arial"/>
                <w:sz w:val="20"/>
                <w:szCs w:val="20"/>
                <w:lang w:val="fr-FR"/>
              </w:rPr>
              <w:t>soutenir la famille et/ou les proches</w:t>
            </w:r>
          </w:p>
          <w:p w14:paraId="4FD8BA50" w14:textId="77777777" w:rsidR="00692561" w:rsidRDefault="00692561" w:rsidP="00692561">
            <w:pPr>
              <w:pStyle w:val="Paragraphedeliste"/>
              <w:numPr>
                <w:ilvl w:val="0"/>
                <w:numId w:val="33"/>
              </w:numPr>
              <w:rPr>
                <w:rFonts w:ascii="Arial" w:hAnsi="Arial" w:cs="Arial"/>
                <w:sz w:val="20"/>
                <w:szCs w:val="20"/>
                <w:lang w:val="fr-FR"/>
              </w:rPr>
            </w:pPr>
            <w:r w:rsidRPr="00100D24">
              <w:rPr>
                <w:rFonts w:ascii="Arial" w:hAnsi="Arial" w:cs="Arial"/>
                <w:sz w:val="20"/>
                <w:szCs w:val="20"/>
                <w:lang w:val="fr-FR"/>
              </w:rPr>
              <w:t xml:space="preserve">Un </w:t>
            </w:r>
            <w:r>
              <w:rPr>
                <w:rFonts w:ascii="Arial" w:hAnsi="Arial" w:cs="Arial"/>
                <w:sz w:val="20"/>
                <w:szCs w:val="20"/>
                <w:lang w:val="fr-FR"/>
              </w:rPr>
              <w:t>médecin</w:t>
            </w:r>
            <w:r w:rsidRPr="00100D24">
              <w:rPr>
                <w:rFonts w:ascii="Arial" w:hAnsi="Arial" w:cs="Arial"/>
                <w:sz w:val="20"/>
                <w:szCs w:val="20"/>
                <w:lang w:val="fr-FR"/>
              </w:rPr>
              <w:t xml:space="preserve"> doit effectuer le processus de vérification du décès en portant un</w:t>
            </w:r>
            <w:r>
              <w:rPr>
                <w:rFonts w:ascii="Arial" w:hAnsi="Arial" w:cs="Arial"/>
                <w:sz w:val="20"/>
                <w:szCs w:val="20"/>
                <w:lang w:val="fr-FR"/>
              </w:rPr>
              <w:t xml:space="preserve"> équipement de protection individuelle</w:t>
            </w:r>
            <w:r w:rsidRPr="00100D24">
              <w:rPr>
                <w:rFonts w:ascii="Arial" w:hAnsi="Arial" w:cs="Arial"/>
                <w:sz w:val="20"/>
                <w:szCs w:val="20"/>
                <w:lang w:val="fr-FR"/>
              </w:rPr>
              <w:t xml:space="preserve"> et en respectant les mesures de contrôle des infections </w:t>
            </w:r>
          </w:p>
          <w:p w14:paraId="487076D7" w14:textId="77777777" w:rsidR="00692561" w:rsidRDefault="00692561" w:rsidP="00692561">
            <w:pPr>
              <w:pStyle w:val="Paragraphedeliste"/>
              <w:numPr>
                <w:ilvl w:val="0"/>
                <w:numId w:val="33"/>
              </w:numPr>
              <w:rPr>
                <w:rFonts w:ascii="Arial" w:hAnsi="Arial" w:cs="Arial"/>
                <w:sz w:val="20"/>
                <w:szCs w:val="20"/>
                <w:lang w:val="fr-FR"/>
              </w:rPr>
            </w:pPr>
            <w:r w:rsidRPr="00100D24">
              <w:rPr>
                <w:rFonts w:ascii="Arial" w:hAnsi="Arial" w:cs="Arial"/>
                <w:sz w:val="20"/>
                <w:szCs w:val="20"/>
                <w:lang w:val="fr-FR"/>
              </w:rPr>
              <w:t xml:space="preserve">Le médecin approprié remplit le certificat médical de cause de décès dès que possible </w:t>
            </w:r>
          </w:p>
          <w:p w14:paraId="1D8BDF8A" w14:textId="77777777" w:rsidR="00692561" w:rsidRDefault="00692561" w:rsidP="00692561">
            <w:pPr>
              <w:pStyle w:val="Paragraphedeliste"/>
              <w:numPr>
                <w:ilvl w:val="0"/>
                <w:numId w:val="33"/>
              </w:numPr>
              <w:rPr>
                <w:rFonts w:ascii="Arial" w:hAnsi="Arial" w:cs="Arial"/>
                <w:sz w:val="20"/>
                <w:szCs w:val="20"/>
                <w:lang w:val="fr-FR"/>
              </w:rPr>
            </w:pPr>
            <w:r w:rsidRPr="005002F7">
              <w:rPr>
                <w:rFonts w:ascii="Arial" w:hAnsi="Arial" w:cs="Arial"/>
                <w:sz w:val="20"/>
                <w:szCs w:val="20"/>
                <w:lang w:val="fr-FR"/>
              </w:rPr>
              <w:t>Il convient de porter un équipement de protection individuelle complet pour les soins physiques après le décès.</w:t>
            </w:r>
          </w:p>
          <w:p w14:paraId="1A0B64E9" w14:textId="77777777" w:rsidR="00692561" w:rsidRDefault="00692561" w:rsidP="00692561">
            <w:pPr>
              <w:pStyle w:val="Paragraphedeliste"/>
              <w:numPr>
                <w:ilvl w:val="0"/>
                <w:numId w:val="33"/>
              </w:numPr>
              <w:rPr>
                <w:rFonts w:ascii="Arial" w:hAnsi="Arial" w:cs="Arial"/>
                <w:sz w:val="20"/>
                <w:szCs w:val="20"/>
                <w:lang w:val="fr-FR"/>
              </w:rPr>
            </w:pPr>
            <w:r w:rsidRPr="00BE58BD">
              <w:rPr>
                <w:rFonts w:ascii="Arial" w:hAnsi="Arial" w:cs="Arial"/>
                <w:sz w:val="20"/>
                <w:szCs w:val="20"/>
                <w:lang w:val="fr-FR"/>
              </w:rPr>
              <w:t>Lors du transport d’un patient récemment décédé sur un chariot de l'hôpital vers la morgue, de petites quantités d'air peuvent être expulsées des poumons et présenter ainsi un risque mineur de contamination. Un sac mortuaire doit être utilisé pour transférer le corps et ceux qui manipulent le corps à ce stade doivent utiliser un équipement de protection individuelle complet.</w:t>
            </w:r>
          </w:p>
          <w:p w14:paraId="422B05D4" w14:textId="77777777" w:rsidR="00692561" w:rsidRDefault="00692561" w:rsidP="00692561">
            <w:pPr>
              <w:pStyle w:val="Paragraphedeliste"/>
              <w:numPr>
                <w:ilvl w:val="0"/>
                <w:numId w:val="33"/>
              </w:numPr>
              <w:rPr>
                <w:rFonts w:ascii="Arial" w:hAnsi="Arial" w:cs="Arial"/>
                <w:sz w:val="20"/>
                <w:szCs w:val="20"/>
                <w:lang w:val="fr-FR"/>
              </w:rPr>
            </w:pPr>
            <w:r w:rsidRPr="00BE58BD">
              <w:rPr>
                <w:rFonts w:ascii="Arial" w:hAnsi="Arial" w:cs="Arial"/>
                <w:sz w:val="20"/>
                <w:szCs w:val="20"/>
                <w:lang w:val="fr-FR"/>
              </w:rPr>
              <w:t>La surface extérieure du sac mortuaire doit être décontaminée immédiatement avant que le sac mortuaire ne quitte</w:t>
            </w:r>
            <w:r>
              <w:rPr>
                <w:rFonts w:ascii="Arial" w:hAnsi="Arial" w:cs="Arial"/>
                <w:sz w:val="20"/>
                <w:szCs w:val="20"/>
                <w:lang w:val="fr-FR"/>
              </w:rPr>
              <w:t xml:space="preserve"> la </w:t>
            </w:r>
            <w:r w:rsidRPr="00BE58BD">
              <w:rPr>
                <w:rFonts w:ascii="Arial" w:hAnsi="Arial" w:cs="Arial"/>
                <w:sz w:val="20"/>
                <w:szCs w:val="20"/>
                <w:lang w:val="fr-FR"/>
              </w:rPr>
              <w:t>chambre</w:t>
            </w:r>
            <w:r>
              <w:rPr>
                <w:rFonts w:ascii="Arial" w:hAnsi="Arial" w:cs="Arial"/>
                <w:sz w:val="20"/>
                <w:szCs w:val="20"/>
                <w:lang w:val="fr-FR"/>
              </w:rPr>
              <w:t xml:space="preserve"> mortuaire</w:t>
            </w:r>
            <w:r w:rsidRPr="00BE58BD">
              <w:rPr>
                <w:rFonts w:ascii="Arial" w:hAnsi="Arial" w:cs="Arial"/>
                <w:sz w:val="20"/>
                <w:szCs w:val="20"/>
                <w:lang w:val="fr-FR"/>
              </w:rPr>
              <w:t xml:space="preserve">. </w:t>
            </w:r>
            <w:r>
              <w:rPr>
                <w:rFonts w:ascii="Arial" w:hAnsi="Arial" w:cs="Arial"/>
                <w:sz w:val="20"/>
                <w:szCs w:val="20"/>
                <w:lang w:val="fr-FR"/>
              </w:rPr>
              <w:t>Cette décontamination nécessite l’utilisation d’un équipement de protection individuelle</w:t>
            </w:r>
          </w:p>
          <w:p w14:paraId="078B5EED" w14:textId="77777777" w:rsidR="00692561" w:rsidRDefault="00692561" w:rsidP="00692561">
            <w:pPr>
              <w:pStyle w:val="Paragraphedeliste"/>
              <w:numPr>
                <w:ilvl w:val="0"/>
                <w:numId w:val="33"/>
              </w:numPr>
              <w:rPr>
                <w:rFonts w:ascii="Arial" w:hAnsi="Arial" w:cs="Arial"/>
                <w:sz w:val="20"/>
                <w:szCs w:val="20"/>
                <w:lang w:val="fr-FR"/>
              </w:rPr>
            </w:pPr>
            <w:r w:rsidRPr="00BE58BD">
              <w:rPr>
                <w:rFonts w:ascii="Arial" w:hAnsi="Arial" w:cs="Arial"/>
                <w:sz w:val="20"/>
                <w:szCs w:val="20"/>
                <w:lang w:val="fr-FR"/>
              </w:rPr>
              <w:t>Les biens du défunt doivent être manipulés avec soin</w:t>
            </w:r>
            <w:r>
              <w:rPr>
                <w:rFonts w:ascii="Arial" w:hAnsi="Arial" w:cs="Arial"/>
                <w:sz w:val="20"/>
                <w:szCs w:val="20"/>
                <w:lang w:val="fr-FR"/>
              </w:rPr>
              <w:t xml:space="preserve"> par du</w:t>
            </w:r>
            <w:r w:rsidRPr="00BE58BD">
              <w:rPr>
                <w:rFonts w:ascii="Arial" w:hAnsi="Arial" w:cs="Arial"/>
                <w:sz w:val="20"/>
                <w:szCs w:val="20"/>
                <w:lang w:val="fr-FR"/>
              </w:rPr>
              <w:t xml:space="preserve"> personnel utilisant </w:t>
            </w:r>
            <w:r>
              <w:rPr>
                <w:rFonts w:ascii="Arial" w:hAnsi="Arial" w:cs="Arial"/>
                <w:sz w:val="20"/>
                <w:szCs w:val="20"/>
                <w:lang w:val="fr-FR"/>
              </w:rPr>
              <w:t>un équipement de protection individuelle.</w:t>
            </w:r>
          </w:p>
          <w:p w14:paraId="648FB42B" w14:textId="08C55376" w:rsidR="00117BAA" w:rsidRPr="00692561" w:rsidRDefault="00692561" w:rsidP="00692561">
            <w:pPr>
              <w:spacing w:before="8" w:after="8" w:line="235" w:lineRule="auto"/>
              <w:rPr>
                <w:rFonts w:asciiTheme="majorHAnsi" w:hAnsiTheme="majorHAnsi" w:cstheme="majorHAnsi"/>
                <w:sz w:val="20"/>
                <w:szCs w:val="20"/>
                <w:shd w:val="clear" w:color="auto" w:fill="FFFFFF"/>
                <w:lang w:val="fr-FR"/>
              </w:rPr>
            </w:pPr>
            <w:r w:rsidRPr="00BE58BD">
              <w:rPr>
                <w:rFonts w:ascii="Arial" w:hAnsi="Arial" w:cs="Arial"/>
                <w:sz w:val="20"/>
                <w:szCs w:val="20"/>
                <w:lang w:val="fr-FR"/>
              </w:rPr>
              <w:t>Il est très peu probable que le don d'organes ou de tissus soit une option, comme c'est le cas pour toute autre infection virale systémique active.</w:t>
            </w:r>
          </w:p>
        </w:tc>
      </w:tr>
    </w:tbl>
    <w:p w14:paraId="4ED5FC69" w14:textId="55636E4E" w:rsidR="00A360B0" w:rsidRPr="00692561" w:rsidRDefault="00A360B0" w:rsidP="008C7B97">
      <w:pPr>
        <w:spacing w:before="8" w:after="8" w:line="226" w:lineRule="auto"/>
        <w:rPr>
          <w:rFonts w:asciiTheme="majorHAnsi" w:hAnsiTheme="majorHAnsi" w:cstheme="majorHAnsi"/>
          <w:lang w:val="fr-FR"/>
        </w:rPr>
      </w:pPr>
    </w:p>
    <w:p w14:paraId="6F129B42" w14:textId="1C3C1A6C" w:rsidR="00692561" w:rsidRPr="00100D24" w:rsidRDefault="00692561" w:rsidP="00692561">
      <w:pPr>
        <w:rPr>
          <w:b/>
          <w:u w:val="single"/>
          <w:lang w:val="fr-FR"/>
        </w:rPr>
      </w:pPr>
      <w:r w:rsidRPr="00100D24">
        <w:rPr>
          <w:b/>
          <w:u w:val="single"/>
          <w:lang w:val="fr-FR"/>
        </w:rPr>
        <w:lastRenderedPageBreak/>
        <w:t xml:space="preserve">Considérations générales après le décès de </w:t>
      </w:r>
      <w:r>
        <w:rPr>
          <w:b/>
          <w:u w:val="single"/>
          <w:lang w:val="fr-FR"/>
        </w:rPr>
        <w:t>l’</w:t>
      </w:r>
      <w:hyperlink r:id="rId18" w:history="1">
        <w:r w:rsidRPr="00692561">
          <w:rPr>
            <w:rStyle w:val="Lienhypertexte"/>
            <w:b/>
            <w:lang w:val="fr-FR"/>
          </w:rPr>
          <w:t>OMS</w:t>
        </w:r>
      </w:hyperlink>
      <w:r w:rsidRPr="00100D24">
        <w:rPr>
          <w:b/>
          <w:u w:val="single"/>
          <w:lang w:val="fr-FR"/>
        </w:rPr>
        <w:t xml:space="preserve"> </w:t>
      </w:r>
    </w:p>
    <w:p w14:paraId="37DB288A" w14:textId="77777777" w:rsidR="00692561" w:rsidRPr="00100D24" w:rsidRDefault="00692561" w:rsidP="00692561">
      <w:pPr>
        <w:pStyle w:val="Paragraphedeliste"/>
        <w:numPr>
          <w:ilvl w:val="0"/>
          <w:numId w:val="34"/>
        </w:numPr>
        <w:rPr>
          <w:lang w:val="fr-FR"/>
        </w:rPr>
      </w:pPr>
      <w:r w:rsidRPr="00100D24">
        <w:rPr>
          <w:lang w:val="fr-FR"/>
        </w:rPr>
        <w:t xml:space="preserve">À ce jour, il n'existe aucune preuve que des personnes aient été infectées par l'exposition au corps de personnes décédées des suites de la COVID-19. </w:t>
      </w:r>
    </w:p>
    <w:p w14:paraId="6DAF0FD2" w14:textId="77777777" w:rsidR="00692561" w:rsidRPr="00100D24" w:rsidRDefault="00692561" w:rsidP="00692561">
      <w:pPr>
        <w:pStyle w:val="Paragraphedeliste"/>
        <w:numPr>
          <w:ilvl w:val="0"/>
          <w:numId w:val="34"/>
        </w:numPr>
        <w:rPr>
          <w:lang w:val="fr-FR"/>
        </w:rPr>
      </w:pPr>
      <w:r w:rsidRPr="00100D24">
        <w:rPr>
          <w:lang w:val="fr-FR"/>
        </w:rPr>
        <w:t>Il convient d'éviter l'élimination hâtive d'un mort de COVID-19.</w:t>
      </w:r>
    </w:p>
    <w:p w14:paraId="6FFED563" w14:textId="77777777" w:rsidR="00692561" w:rsidRPr="00100D24" w:rsidRDefault="00692561" w:rsidP="00692561">
      <w:pPr>
        <w:pStyle w:val="Paragraphedeliste"/>
        <w:numPr>
          <w:ilvl w:val="0"/>
          <w:numId w:val="34"/>
        </w:numPr>
        <w:rPr>
          <w:lang w:val="fr-FR"/>
        </w:rPr>
      </w:pPr>
      <w:r w:rsidRPr="00100D24">
        <w:rPr>
          <w:lang w:val="fr-FR"/>
        </w:rPr>
        <w:t>Les autorités devraient gérer chaque situation au cas par cas, en équilibrant les droits de la famille, la nécessité d'enquêter sur la cause du décès et les risques d'exposition à l'infection.</w:t>
      </w:r>
    </w:p>
    <w:p w14:paraId="1E4D1899" w14:textId="77777777" w:rsidR="00692561" w:rsidRPr="00100D24" w:rsidRDefault="00692561" w:rsidP="00692561">
      <w:pPr>
        <w:pStyle w:val="Paragraphedeliste"/>
        <w:numPr>
          <w:ilvl w:val="0"/>
          <w:numId w:val="34"/>
        </w:numPr>
        <w:rPr>
          <w:lang w:val="fr-FR"/>
        </w:rPr>
      </w:pPr>
      <w:r w:rsidRPr="00100D24">
        <w:rPr>
          <w:lang w:val="fr-FR"/>
        </w:rPr>
        <w:t>Il convient de veiller à ce que le personnel qui interagit avec le corps (personnel de santé ou mortuaire, ou l'équipe d'inhumation) applique les précautions standard, y compris l'hygiène des mains avant et après l'interaction avec le corps, et l'environnement ; et utiliser un équipement de protection individuelle approprié en fonction du niveau d'interaction avec le corps.</w:t>
      </w:r>
    </w:p>
    <w:p w14:paraId="0EB57323" w14:textId="77777777" w:rsidR="00692561" w:rsidRPr="00100D24" w:rsidRDefault="00692561" w:rsidP="00692561">
      <w:pPr>
        <w:pStyle w:val="Paragraphedeliste"/>
        <w:numPr>
          <w:ilvl w:val="0"/>
          <w:numId w:val="34"/>
        </w:numPr>
        <w:rPr>
          <w:lang w:val="fr-FR"/>
        </w:rPr>
      </w:pPr>
      <w:r w:rsidRPr="00100D24">
        <w:rPr>
          <w:lang w:val="fr-FR"/>
        </w:rPr>
        <w:t>S'il y a un risque d'éclaboussures de fluides ou de sécrétions corporelles, le personnel doit utiliser une protection faciale, y compris le port d'un écran facial ou de lunettes de protection et d'un masque médical.</w:t>
      </w:r>
    </w:p>
    <w:p w14:paraId="620EB91D" w14:textId="77777777" w:rsidR="00692561" w:rsidRPr="00100D24" w:rsidRDefault="00692561" w:rsidP="00692561">
      <w:pPr>
        <w:pStyle w:val="Paragraphedeliste"/>
        <w:numPr>
          <w:ilvl w:val="0"/>
          <w:numId w:val="34"/>
        </w:numPr>
        <w:rPr>
          <w:lang w:val="fr-FR"/>
        </w:rPr>
      </w:pPr>
      <w:r w:rsidRPr="00100D24">
        <w:rPr>
          <w:lang w:val="fr-FR"/>
        </w:rPr>
        <w:t>Il convient de veiller à ce que tout liquide corporel s'écoulant des orifices soit contenu.</w:t>
      </w:r>
    </w:p>
    <w:p w14:paraId="69E07E9A" w14:textId="77777777" w:rsidR="00692561" w:rsidRPr="00100D24" w:rsidRDefault="00692561" w:rsidP="00692561">
      <w:pPr>
        <w:pStyle w:val="Paragraphedeliste"/>
        <w:numPr>
          <w:ilvl w:val="0"/>
          <w:numId w:val="34"/>
        </w:numPr>
        <w:rPr>
          <w:lang w:val="fr-FR"/>
        </w:rPr>
      </w:pPr>
      <w:r w:rsidRPr="00100D24">
        <w:rPr>
          <w:lang w:val="fr-FR"/>
        </w:rPr>
        <w:t>Il convient de limiter au maximum les mouvements et les manipulations du corps.</w:t>
      </w:r>
    </w:p>
    <w:p w14:paraId="6465B774" w14:textId="77777777" w:rsidR="00692561" w:rsidRPr="00100D24" w:rsidRDefault="00692561" w:rsidP="00692561">
      <w:pPr>
        <w:pStyle w:val="Paragraphedeliste"/>
        <w:numPr>
          <w:ilvl w:val="0"/>
          <w:numId w:val="34"/>
        </w:numPr>
        <w:rPr>
          <w:lang w:val="fr-FR"/>
        </w:rPr>
      </w:pPr>
      <w:r w:rsidRPr="00100D24">
        <w:rPr>
          <w:lang w:val="fr-FR"/>
        </w:rPr>
        <w:t>Il convient d’envelopper le corps dans un tissu et de le transférer dès que possible dans la zone mortuaire.</w:t>
      </w:r>
    </w:p>
    <w:p w14:paraId="2D3BD15B" w14:textId="77777777" w:rsidR="00692561" w:rsidRPr="00100D24" w:rsidRDefault="00692561" w:rsidP="00692561">
      <w:pPr>
        <w:pStyle w:val="Paragraphedeliste"/>
        <w:numPr>
          <w:ilvl w:val="0"/>
          <w:numId w:val="34"/>
        </w:numPr>
        <w:rPr>
          <w:lang w:val="fr-FR"/>
        </w:rPr>
      </w:pPr>
      <w:r w:rsidRPr="00100D24">
        <w:rPr>
          <w:lang w:val="fr-FR"/>
        </w:rPr>
        <w:t>Il n'est pas nécessaire de désinfecter le corps avant de le transférer dans la zone mortuaire.</w:t>
      </w:r>
    </w:p>
    <w:p w14:paraId="6ADB5F55" w14:textId="77777777" w:rsidR="00692561" w:rsidRPr="00100D24" w:rsidRDefault="00692561" w:rsidP="00692561">
      <w:pPr>
        <w:pStyle w:val="Paragraphedeliste"/>
        <w:numPr>
          <w:ilvl w:val="0"/>
          <w:numId w:val="34"/>
        </w:numPr>
        <w:rPr>
          <w:lang w:val="fr-FR"/>
        </w:rPr>
      </w:pPr>
      <w:r w:rsidRPr="00100D24">
        <w:rPr>
          <w:lang w:val="fr-FR"/>
        </w:rPr>
        <w:t>Les sacs mortuaires ne sont pas nécessaires, bien qu'ils puissent être utilisés pour d'autres raisons (par exemple, une fuite excessive de liquide corporel).</w:t>
      </w:r>
    </w:p>
    <w:p w14:paraId="7CE52075" w14:textId="77777777" w:rsidR="00692561" w:rsidRDefault="00692561" w:rsidP="00692561">
      <w:pPr>
        <w:pStyle w:val="Paragraphedeliste"/>
        <w:numPr>
          <w:ilvl w:val="0"/>
          <w:numId w:val="34"/>
        </w:numPr>
        <w:rPr>
          <w:lang w:val="fr-FR"/>
        </w:rPr>
      </w:pPr>
      <w:r w:rsidRPr="00100D24">
        <w:rPr>
          <w:lang w:val="fr-FR"/>
        </w:rPr>
        <w:t>Aucun équipement ou véhicule de transport spécial n'est nécessaire.</w:t>
      </w:r>
    </w:p>
    <w:p w14:paraId="7D1B2DF3" w14:textId="77777777" w:rsidR="00692561" w:rsidRDefault="00692561" w:rsidP="00692561">
      <w:pPr>
        <w:rPr>
          <w:lang w:val="fr-FR"/>
        </w:rPr>
      </w:pPr>
    </w:p>
    <w:p w14:paraId="1D2DF2BB" w14:textId="46A18F07" w:rsidR="00885438" w:rsidRPr="00692561" w:rsidRDefault="00885438" w:rsidP="008C7B97">
      <w:pPr>
        <w:tabs>
          <w:tab w:val="left" w:pos="5670"/>
        </w:tabs>
        <w:spacing w:before="8" w:after="8" w:line="226" w:lineRule="auto"/>
        <w:ind w:right="-643"/>
        <w:rPr>
          <w:rFonts w:asciiTheme="majorHAnsi" w:hAnsiTheme="majorHAnsi" w:cstheme="majorHAnsi"/>
          <w:sz w:val="18"/>
          <w:szCs w:val="18"/>
          <w:lang w:val="fr-FR"/>
        </w:rPr>
      </w:pPr>
    </w:p>
    <w:p w14:paraId="551A041A" w14:textId="4344A693" w:rsidR="000145D4" w:rsidRPr="005575EB" w:rsidRDefault="000145D4" w:rsidP="00692561">
      <w:pPr>
        <w:tabs>
          <w:tab w:val="left" w:pos="5670"/>
        </w:tabs>
        <w:spacing w:after="0" w:line="226" w:lineRule="auto"/>
        <w:rPr>
          <w:rFonts w:asciiTheme="majorHAnsi" w:hAnsiTheme="majorHAnsi" w:cstheme="majorHAnsi"/>
          <w:color w:val="000000" w:themeColor="text1"/>
          <w:sz w:val="20"/>
          <w:szCs w:val="20"/>
          <w:lang w:val="fr-FR"/>
        </w:rPr>
      </w:pPr>
    </w:p>
    <w:sectPr w:rsidR="000145D4" w:rsidRPr="005575EB" w:rsidSect="007134B1">
      <w:footerReference w:type="even" r:id="rId19"/>
      <w:footerReference w:type="default" r:id="rId20"/>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77583" w14:textId="77777777" w:rsidR="00AE267F" w:rsidRDefault="00AE267F" w:rsidP="005414C1">
      <w:pPr>
        <w:spacing w:after="0" w:line="240" w:lineRule="auto"/>
      </w:pPr>
      <w:r>
        <w:separator/>
      </w:r>
    </w:p>
  </w:endnote>
  <w:endnote w:type="continuationSeparator" w:id="0">
    <w:p w14:paraId="2C198AD6" w14:textId="77777777" w:rsidR="00AE267F" w:rsidRDefault="00AE267F"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075009710"/>
      <w:docPartObj>
        <w:docPartGallery w:val="Page Numbers (Bottom of Page)"/>
        <w:docPartUnique/>
      </w:docPartObj>
    </w:sdtPr>
    <w:sdtEndPr>
      <w:rPr>
        <w:rStyle w:val="Numrodepage"/>
      </w:rPr>
    </w:sdtEndPr>
    <w:sdtContent>
      <w:p w14:paraId="092D4CA6" w14:textId="673B6736" w:rsidR="007134B1" w:rsidRDefault="007134B1" w:rsidP="006F040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3CB4BF1" w14:textId="77777777" w:rsidR="007134B1" w:rsidRDefault="007134B1" w:rsidP="007134B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937130657"/>
      <w:docPartObj>
        <w:docPartGallery w:val="Page Numbers (Bottom of Page)"/>
        <w:docPartUnique/>
      </w:docPartObj>
    </w:sdtPr>
    <w:sdtEndPr>
      <w:rPr>
        <w:rStyle w:val="Numrodepage"/>
      </w:rPr>
    </w:sdtEndPr>
    <w:sdtContent>
      <w:p w14:paraId="50B03577" w14:textId="1019D99E" w:rsidR="007134B1" w:rsidRDefault="007134B1" w:rsidP="006F040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9C048A9" w14:textId="77777777" w:rsidR="007134B1" w:rsidRDefault="007134B1" w:rsidP="007134B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C940F" w14:textId="77777777" w:rsidR="00AE267F" w:rsidRDefault="00AE267F" w:rsidP="005414C1">
      <w:pPr>
        <w:spacing w:after="0" w:line="240" w:lineRule="auto"/>
      </w:pPr>
      <w:r>
        <w:separator/>
      </w:r>
    </w:p>
  </w:footnote>
  <w:footnote w:type="continuationSeparator" w:id="0">
    <w:p w14:paraId="2AD26134" w14:textId="77777777" w:rsidR="00AE267F" w:rsidRDefault="00AE267F"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14678"/>
    <w:multiLevelType w:val="multilevel"/>
    <w:tmpl w:val="04105D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02459D3"/>
    <w:multiLevelType w:val="multilevel"/>
    <w:tmpl w:val="04105D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012CBA"/>
    <w:multiLevelType w:val="hybridMultilevel"/>
    <w:tmpl w:val="41C23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CC7DC7"/>
    <w:multiLevelType w:val="hybridMultilevel"/>
    <w:tmpl w:val="36A001A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18122959"/>
    <w:multiLevelType w:val="hybridMultilevel"/>
    <w:tmpl w:val="34DAE93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1C5946A8"/>
    <w:multiLevelType w:val="multilevel"/>
    <w:tmpl w:val="04105D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F117C4F"/>
    <w:multiLevelType w:val="multilevel"/>
    <w:tmpl w:val="0410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60EA1"/>
    <w:multiLevelType w:val="multilevel"/>
    <w:tmpl w:val="FA0E9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1BE2B29"/>
    <w:multiLevelType w:val="hybridMultilevel"/>
    <w:tmpl w:val="E9D880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893648"/>
    <w:multiLevelType w:val="hybridMultilevel"/>
    <w:tmpl w:val="55D675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892737"/>
    <w:multiLevelType w:val="hybridMultilevel"/>
    <w:tmpl w:val="29E25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814C39"/>
    <w:multiLevelType w:val="hybridMultilevel"/>
    <w:tmpl w:val="FA0E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F90617"/>
    <w:multiLevelType w:val="hybridMultilevel"/>
    <w:tmpl w:val="A7C49B56"/>
    <w:lvl w:ilvl="0" w:tplc="9A5AE18C">
      <w:start w:val="1"/>
      <w:numFmt w:val="bullet"/>
      <w:lvlText w:val=""/>
      <w:lvlJc w:val="left"/>
      <w:pPr>
        <w:ind w:left="36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37A0D2F"/>
    <w:multiLevelType w:val="multilevel"/>
    <w:tmpl w:val="04105D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3A87E6E"/>
    <w:multiLevelType w:val="hybridMultilevel"/>
    <w:tmpl w:val="465E13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CD45E09"/>
    <w:multiLevelType w:val="hybridMultilevel"/>
    <w:tmpl w:val="6E260EC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3E854808"/>
    <w:multiLevelType w:val="hybridMultilevel"/>
    <w:tmpl w:val="74AC4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FF30E71"/>
    <w:multiLevelType w:val="multilevel"/>
    <w:tmpl w:val="506A55A0"/>
    <w:lvl w:ilvl="0">
      <w:start w:val="1"/>
      <w:numFmt w:val="bullet"/>
      <w:lvlText w:val=""/>
      <w:lvlJc w:val="left"/>
      <w:pPr>
        <w:ind w:left="360" w:hanging="360"/>
      </w:pPr>
      <w:rPr>
        <w:rFonts w:ascii="Symbol" w:hAnsi="Symbol" w:cs="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06582"/>
    <w:multiLevelType w:val="hybridMultilevel"/>
    <w:tmpl w:val="E814E6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B6F2D08"/>
    <w:multiLevelType w:val="hybridMultilevel"/>
    <w:tmpl w:val="80E68B1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596267F"/>
    <w:multiLevelType w:val="multilevel"/>
    <w:tmpl w:val="04105D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9D32BEE"/>
    <w:multiLevelType w:val="hybridMultilevel"/>
    <w:tmpl w:val="F95E181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5A10645B"/>
    <w:multiLevelType w:val="hybridMultilevel"/>
    <w:tmpl w:val="7B0A95C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5AA9506A"/>
    <w:multiLevelType w:val="hybridMultilevel"/>
    <w:tmpl w:val="E364FAAE"/>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5C0B5FF1"/>
    <w:multiLevelType w:val="hybridMultilevel"/>
    <w:tmpl w:val="F14EF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2D2C6D"/>
    <w:multiLevelType w:val="hybridMultilevel"/>
    <w:tmpl w:val="35DECCFE"/>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4112389"/>
    <w:multiLevelType w:val="hybridMultilevel"/>
    <w:tmpl w:val="028CEE30"/>
    <w:lvl w:ilvl="0" w:tplc="2ABE1BAE">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BD50DD1"/>
    <w:multiLevelType w:val="hybridMultilevel"/>
    <w:tmpl w:val="F0BE29A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2975C40"/>
    <w:multiLevelType w:val="hybridMultilevel"/>
    <w:tmpl w:val="A74CBAE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74A22D31"/>
    <w:multiLevelType w:val="multilevel"/>
    <w:tmpl w:val="506A55A0"/>
    <w:lvl w:ilvl="0">
      <w:start w:val="1"/>
      <w:numFmt w:val="bullet"/>
      <w:lvlText w:val=""/>
      <w:lvlJc w:val="left"/>
      <w:pPr>
        <w:ind w:left="360" w:hanging="360"/>
      </w:pPr>
      <w:rPr>
        <w:rFonts w:ascii="Symbol" w:hAnsi="Symbol" w:cs="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F114BD"/>
    <w:multiLevelType w:val="multilevel"/>
    <w:tmpl w:val="506A55A0"/>
    <w:lvl w:ilvl="0">
      <w:start w:val="1"/>
      <w:numFmt w:val="bullet"/>
      <w:lvlText w:val=""/>
      <w:lvlJc w:val="left"/>
      <w:pPr>
        <w:ind w:left="360" w:hanging="360"/>
      </w:pPr>
      <w:rPr>
        <w:rFonts w:ascii="Symbol" w:hAnsi="Symbol" w:cs="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C37760"/>
    <w:multiLevelType w:val="hybridMultilevel"/>
    <w:tmpl w:val="D1F4FC5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7DF75311"/>
    <w:multiLevelType w:val="hybridMultilevel"/>
    <w:tmpl w:val="11CAE14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EA548A9"/>
    <w:multiLevelType w:val="hybridMultilevel"/>
    <w:tmpl w:val="61985C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1"/>
  </w:num>
  <w:num w:numId="2">
    <w:abstractNumId w:val="25"/>
  </w:num>
  <w:num w:numId="3">
    <w:abstractNumId w:val="4"/>
  </w:num>
  <w:num w:numId="4">
    <w:abstractNumId w:val="14"/>
  </w:num>
  <w:num w:numId="5">
    <w:abstractNumId w:val="9"/>
  </w:num>
  <w:num w:numId="6">
    <w:abstractNumId w:val="32"/>
  </w:num>
  <w:num w:numId="7">
    <w:abstractNumId w:val="18"/>
  </w:num>
  <w:num w:numId="8">
    <w:abstractNumId w:val="6"/>
  </w:num>
  <w:num w:numId="9">
    <w:abstractNumId w:val="20"/>
  </w:num>
  <w:num w:numId="10">
    <w:abstractNumId w:val="0"/>
  </w:num>
  <w:num w:numId="11">
    <w:abstractNumId w:val="13"/>
  </w:num>
  <w:num w:numId="12">
    <w:abstractNumId w:val="1"/>
  </w:num>
  <w:num w:numId="13">
    <w:abstractNumId w:val="5"/>
  </w:num>
  <w:num w:numId="14">
    <w:abstractNumId w:val="23"/>
  </w:num>
  <w:num w:numId="15">
    <w:abstractNumId w:val="22"/>
  </w:num>
  <w:num w:numId="16">
    <w:abstractNumId w:val="28"/>
  </w:num>
  <w:num w:numId="17">
    <w:abstractNumId w:val="3"/>
  </w:num>
  <w:num w:numId="18">
    <w:abstractNumId w:val="31"/>
  </w:num>
  <w:num w:numId="19">
    <w:abstractNumId w:val="17"/>
  </w:num>
  <w:num w:numId="20">
    <w:abstractNumId w:val="30"/>
  </w:num>
  <w:num w:numId="21">
    <w:abstractNumId w:val="29"/>
  </w:num>
  <w:num w:numId="22">
    <w:abstractNumId w:val="27"/>
  </w:num>
  <w:num w:numId="23">
    <w:abstractNumId w:val="15"/>
  </w:num>
  <w:num w:numId="24">
    <w:abstractNumId w:val="12"/>
  </w:num>
  <w:num w:numId="25">
    <w:abstractNumId w:val="11"/>
  </w:num>
  <w:num w:numId="26">
    <w:abstractNumId w:val="7"/>
  </w:num>
  <w:num w:numId="27">
    <w:abstractNumId w:val="26"/>
  </w:num>
  <w:num w:numId="28">
    <w:abstractNumId w:val="16"/>
  </w:num>
  <w:num w:numId="29">
    <w:abstractNumId w:val="33"/>
  </w:num>
  <w:num w:numId="30">
    <w:abstractNumId w:val="19"/>
  </w:num>
  <w:num w:numId="31">
    <w:abstractNumId w:val="2"/>
  </w:num>
  <w:num w:numId="32">
    <w:abstractNumId w:val="10"/>
  </w:num>
  <w:num w:numId="33">
    <w:abstractNumId w:val="8"/>
  </w:num>
  <w:num w:numId="3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6B"/>
    <w:rsid w:val="000145D4"/>
    <w:rsid w:val="000576E4"/>
    <w:rsid w:val="000838F1"/>
    <w:rsid w:val="000A6B77"/>
    <w:rsid w:val="000B185D"/>
    <w:rsid w:val="000F7E38"/>
    <w:rsid w:val="00100B31"/>
    <w:rsid w:val="0010555F"/>
    <w:rsid w:val="00117BAA"/>
    <w:rsid w:val="0019130D"/>
    <w:rsid w:val="001E2259"/>
    <w:rsid w:val="001E6BED"/>
    <w:rsid w:val="001F62C5"/>
    <w:rsid w:val="002919EC"/>
    <w:rsid w:val="0029236D"/>
    <w:rsid w:val="002D686B"/>
    <w:rsid w:val="002F7BE8"/>
    <w:rsid w:val="003062DA"/>
    <w:rsid w:val="0036050D"/>
    <w:rsid w:val="00387E13"/>
    <w:rsid w:val="003929ED"/>
    <w:rsid w:val="003E2D52"/>
    <w:rsid w:val="00454033"/>
    <w:rsid w:val="005414C1"/>
    <w:rsid w:val="00547037"/>
    <w:rsid w:val="00551EB8"/>
    <w:rsid w:val="005575EB"/>
    <w:rsid w:val="00567488"/>
    <w:rsid w:val="005820FF"/>
    <w:rsid w:val="005A2551"/>
    <w:rsid w:val="005B56AF"/>
    <w:rsid w:val="005C0539"/>
    <w:rsid w:val="005C0F35"/>
    <w:rsid w:val="006870DA"/>
    <w:rsid w:val="00692561"/>
    <w:rsid w:val="006D1318"/>
    <w:rsid w:val="007134B1"/>
    <w:rsid w:val="00722151"/>
    <w:rsid w:val="007A3153"/>
    <w:rsid w:val="007B3C2B"/>
    <w:rsid w:val="007B5002"/>
    <w:rsid w:val="008021B0"/>
    <w:rsid w:val="00825F7E"/>
    <w:rsid w:val="008339A4"/>
    <w:rsid w:val="00841BB5"/>
    <w:rsid w:val="00847647"/>
    <w:rsid w:val="00874AB3"/>
    <w:rsid w:val="00885438"/>
    <w:rsid w:val="008A7579"/>
    <w:rsid w:val="008C7B97"/>
    <w:rsid w:val="008F3F6B"/>
    <w:rsid w:val="008F6C76"/>
    <w:rsid w:val="00902ED2"/>
    <w:rsid w:val="00916CF2"/>
    <w:rsid w:val="00952DEA"/>
    <w:rsid w:val="009851E1"/>
    <w:rsid w:val="009A427D"/>
    <w:rsid w:val="009B039B"/>
    <w:rsid w:val="009D4683"/>
    <w:rsid w:val="009E5724"/>
    <w:rsid w:val="00A0052F"/>
    <w:rsid w:val="00A360B0"/>
    <w:rsid w:val="00A861E1"/>
    <w:rsid w:val="00A9779D"/>
    <w:rsid w:val="00AB65AA"/>
    <w:rsid w:val="00AE267F"/>
    <w:rsid w:val="00B05EE8"/>
    <w:rsid w:val="00B07C04"/>
    <w:rsid w:val="00B45E14"/>
    <w:rsid w:val="00B67653"/>
    <w:rsid w:val="00B67FCF"/>
    <w:rsid w:val="00B76EC9"/>
    <w:rsid w:val="00BD38C6"/>
    <w:rsid w:val="00BD5C5F"/>
    <w:rsid w:val="00BE531C"/>
    <w:rsid w:val="00C134AF"/>
    <w:rsid w:val="00CE209A"/>
    <w:rsid w:val="00CF6A54"/>
    <w:rsid w:val="00D40D3E"/>
    <w:rsid w:val="00D7050B"/>
    <w:rsid w:val="00D7471B"/>
    <w:rsid w:val="00DA26D6"/>
    <w:rsid w:val="00DA2974"/>
    <w:rsid w:val="00DD7145"/>
    <w:rsid w:val="00E5023F"/>
    <w:rsid w:val="00EB1F08"/>
    <w:rsid w:val="00EC4F9E"/>
    <w:rsid w:val="00F75021"/>
    <w:rsid w:val="00FD17AC"/>
    <w:rsid w:val="00FD2AB0"/>
    <w:rsid w:val="00FE39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2974"/>
    <w:rPr>
      <w:color w:val="0563C1" w:themeColor="hyperlink"/>
      <w:u w:val="single"/>
    </w:rPr>
  </w:style>
  <w:style w:type="character" w:styleId="Mentionnonrsolue">
    <w:name w:val="Unresolved Mention"/>
    <w:basedOn w:val="Policepardfaut"/>
    <w:uiPriority w:val="99"/>
    <w:semiHidden/>
    <w:unhideWhenUsed/>
    <w:rsid w:val="00DA2974"/>
    <w:rPr>
      <w:color w:val="605E5C"/>
      <w:shd w:val="clear" w:color="auto" w:fill="E1DFDD"/>
    </w:rPr>
  </w:style>
  <w:style w:type="character" w:styleId="Lienhypertextesuivivisit">
    <w:name w:val="FollowedHyperlink"/>
    <w:basedOn w:val="Policepardfaut"/>
    <w:uiPriority w:val="99"/>
    <w:semiHidden/>
    <w:unhideWhenUsed/>
    <w:rsid w:val="009D4683"/>
    <w:rPr>
      <w:color w:val="954F72" w:themeColor="followedHyperlink"/>
      <w:u w:val="single"/>
    </w:rPr>
  </w:style>
  <w:style w:type="paragraph" w:styleId="Paragraphedeliste">
    <w:name w:val="List Paragraph"/>
    <w:basedOn w:val="Normal"/>
    <w:uiPriority w:val="34"/>
    <w:qFormat/>
    <w:rsid w:val="005414C1"/>
    <w:pPr>
      <w:ind w:left="720"/>
      <w:contextualSpacing/>
    </w:pPr>
  </w:style>
  <w:style w:type="paragraph" w:styleId="En-tte">
    <w:name w:val="header"/>
    <w:basedOn w:val="Normal"/>
    <w:link w:val="En-tteCar"/>
    <w:uiPriority w:val="99"/>
    <w:unhideWhenUsed/>
    <w:rsid w:val="005414C1"/>
    <w:pPr>
      <w:tabs>
        <w:tab w:val="center" w:pos="4513"/>
        <w:tab w:val="right" w:pos="9026"/>
      </w:tabs>
      <w:spacing w:after="0" w:line="240" w:lineRule="auto"/>
    </w:pPr>
  </w:style>
  <w:style w:type="character" w:customStyle="1" w:styleId="En-tteCar">
    <w:name w:val="En-tête Car"/>
    <w:basedOn w:val="Policepardfaut"/>
    <w:link w:val="En-tte"/>
    <w:uiPriority w:val="99"/>
    <w:rsid w:val="005414C1"/>
  </w:style>
  <w:style w:type="paragraph" w:styleId="Pieddepage">
    <w:name w:val="footer"/>
    <w:basedOn w:val="Normal"/>
    <w:link w:val="PieddepageCar"/>
    <w:uiPriority w:val="99"/>
    <w:unhideWhenUsed/>
    <w:rsid w:val="005414C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414C1"/>
  </w:style>
  <w:style w:type="character" w:styleId="Numrodepage">
    <w:name w:val="page number"/>
    <w:basedOn w:val="Policepardfaut"/>
    <w:uiPriority w:val="99"/>
    <w:semiHidden/>
    <w:unhideWhenUsed/>
    <w:rsid w:val="008339A4"/>
  </w:style>
  <w:style w:type="paragraph" w:styleId="Textedebulles">
    <w:name w:val="Balloon Text"/>
    <w:basedOn w:val="Normal"/>
    <w:link w:val="TextedebullesCar"/>
    <w:uiPriority w:val="99"/>
    <w:semiHidden/>
    <w:unhideWhenUsed/>
    <w:rsid w:val="005B56AF"/>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B56AF"/>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692561"/>
    <w:rPr>
      <w:sz w:val="16"/>
      <w:szCs w:val="16"/>
    </w:rPr>
  </w:style>
  <w:style w:type="paragraph" w:styleId="Commentaire">
    <w:name w:val="annotation text"/>
    <w:basedOn w:val="Normal"/>
    <w:link w:val="CommentaireCar"/>
    <w:uiPriority w:val="99"/>
    <w:semiHidden/>
    <w:unhideWhenUsed/>
    <w:rsid w:val="00692561"/>
    <w:pPr>
      <w:spacing w:line="240" w:lineRule="auto"/>
    </w:pPr>
    <w:rPr>
      <w:sz w:val="20"/>
      <w:szCs w:val="20"/>
    </w:rPr>
  </w:style>
  <w:style w:type="character" w:customStyle="1" w:styleId="CommentaireCar">
    <w:name w:val="Commentaire Car"/>
    <w:basedOn w:val="Policepardfaut"/>
    <w:link w:val="Commentaire"/>
    <w:uiPriority w:val="99"/>
    <w:semiHidden/>
    <w:rsid w:val="00692561"/>
    <w:rPr>
      <w:sz w:val="20"/>
      <w:szCs w:val="20"/>
    </w:rPr>
  </w:style>
  <w:style w:type="paragraph" w:styleId="Objetducommentaire">
    <w:name w:val="annotation subject"/>
    <w:basedOn w:val="Commentaire"/>
    <w:next w:val="Commentaire"/>
    <w:link w:val="ObjetducommentaireCar"/>
    <w:uiPriority w:val="99"/>
    <w:semiHidden/>
    <w:unhideWhenUsed/>
    <w:rsid w:val="00692561"/>
    <w:rPr>
      <w:b/>
      <w:bCs/>
    </w:rPr>
  </w:style>
  <w:style w:type="character" w:customStyle="1" w:styleId="ObjetducommentaireCar">
    <w:name w:val="Objet du commentaire Car"/>
    <w:basedOn w:val="CommentaireCar"/>
    <w:link w:val="Objetducommentaire"/>
    <w:uiPriority w:val="99"/>
    <w:semiHidden/>
    <w:rsid w:val="006925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sus.org.uk/_resources/assets/attachment/full/0/36100.pdf" TargetMode="External"/><Relationship Id="rId18" Type="http://schemas.openxmlformats.org/officeDocument/2006/relationships/hyperlink" Target="https://apps.who.int/iris/bitstream/handle/10665/331538/WHO-COVID-19-lPC_DBMgmt-2020.1-eng.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resus.org.uk/media/statements/resuscitation-council-uk-statements-on-covid-19-coronavirus-cpr-and-resuscitation/covid-healthcare/" TargetMode="External"/><Relationship Id="rId17" Type="http://schemas.openxmlformats.org/officeDocument/2006/relationships/hyperlink" Target="https://www.resus.org.uk/covid-19-resources/statements-covid-19-hospital-settings" TargetMode="External"/><Relationship Id="rId2" Type="http://schemas.openxmlformats.org/officeDocument/2006/relationships/styles" Target="styles.xml"/><Relationship Id="rId16" Type="http://schemas.openxmlformats.org/officeDocument/2006/relationships/hyperlink" Target="file:///C:\Users\astri\Desktop\corona%20andrea\(https:\apmonline.org\wp-content\uploads\2020\04\COVID-19-and-Palliative-End-of-Life-and-Bereavement-Care-20-April-2020-2.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coronavirus/wp-content/uploads/sites/52/2020/04/C0485-appendix-acp-template-110520.pdf" TargetMode="External"/><Relationship Id="rId5" Type="http://schemas.openxmlformats.org/officeDocument/2006/relationships/footnotes" Target="footnotes.xml"/><Relationship Id="rId15" Type="http://schemas.openxmlformats.org/officeDocument/2006/relationships/hyperlink" Target="https://www.england.nhs.uk/coronavirus/wp-content/uploads/sites/52/2020/04/C0081-AMENDED-Speciality-guide-Palliative-care-and-coronavirus-v2-2020-04-22.pdf" TargetMode="External"/><Relationship Id="rId10" Type="http://schemas.openxmlformats.org/officeDocument/2006/relationships/hyperlink" Target="https://www.england.nhs.uk/coronavirus/wp-content/uploads/sites/52/2020/04/C0081-AMENDED-Speciality-guide-Palliative-care-and-coronavirus-v2-2020-04-22.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xfordhealthbrc.nihr.ac.uk/our-work/oxppl/covid-19-and-mental-health-guidance/" TargetMode="External"/><Relationship Id="rId14" Type="http://schemas.openxmlformats.org/officeDocument/2006/relationships/hyperlink" Target="https://www.england.nhs.uk/coronavirus/wp-content/uploads/sites/52/2020/04/C0081-AMENDED-Speciality-guide-Palliative-care-and-coronavirus-v2-2020-04-2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1308</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astrid chevance</cp:lastModifiedBy>
  <cp:revision>6</cp:revision>
  <dcterms:created xsi:type="dcterms:W3CDTF">2020-04-28T13:11:00Z</dcterms:created>
  <dcterms:modified xsi:type="dcterms:W3CDTF">2020-10-31T13:02:00Z</dcterms:modified>
</cp:coreProperties>
</file>