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DE028" w14:textId="14F413E6" w:rsidR="00C134AF" w:rsidRPr="00C134AF" w:rsidRDefault="00C134AF" w:rsidP="00C134AF">
      <w:pPr>
        <w:spacing w:after="0" w:line="240" w:lineRule="auto"/>
        <w:rPr>
          <w:rFonts w:ascii="Times New Roman" w:eastAsia="Times New Roman" w:hAnsi="Times New Roman" w:cs="Times New Roman"/>
          <w:sz w:val="24"/>
          <w:szCs w:val="24"/>
          <w:lang w:eastAsia="ja-JP"/>
        </w:rPr>
      </w:pPr>
      <w:r w:rsidRPr="005C0539">
        <w:rPr>
          <w:rFonts w:asciiTheme="majorHAnsi" w:hAnsiTheme="majorHAnsi" w:cstheme="majorHAnsi"/>
          <w:noProof/>
          <w:color w:val="000000" w:themeColor="text1"/>
        </w:rPr>
        <w:drawing>
          <wp:anchor distT="0" distB="0" distL="114300" distR="114300" simplePos="0" relativeHeight="251658240" behindDoc="0" locked="0" layoutInCell="1" allowOverlap="1" wp14:anchorId="61DDB1D5" wp14:editId="01DE2B34">
            <wp:simplePos x="0" y="0"/>
            <wp:positionH relativeFrom="margin">
              <wp:posOffset>6988175</wp:posOffset>
            </wp:positionH>
            <wp:positionV relativeFrom="margin">
              <wp:posOffset>-544</wp:posOffset>
            </wp:positionV>
            <wp:extent cx="1803400" cy="861060"/>
            <wp:effectExtent l="0" t="0" r="0" b="2540"/>
            <wp:wrapSquare wrapText="bothSides"/>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_final_sma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3400" cy="861060"/>
                    </a:xfrm>
                    <a:prstGeom prst="rect">
                      <a:avLst/>
                    </a:prstGeom>
                  </pic:spPr>
                </pic:pic>
              </a:graphicData>
            </a:graphic>
            <wp14:sizeRelH relativeFrom="margin">
              <wp14:pctWidth>0</wp14:pctWidth>
            </wp14:sizeRelH>
            <wp14:sizeRelV relativeFrom="margin">
              <wp14:pctHeight>0</wp14:pctHeight>
            </wp14:sizeRelV>
          </wp:anchor>
        </w:drawing>
      </w:r>
      <w:r w:rsidR="004E652D" w:rsidRPr="00C134AF">
        <w:rPr>
          <w:rFonts w:ascii="Times New Roman" w:eastAsia="Times New Roman" w:hAnsi="Times New Roman" w:cs="Times New Roman"/>
          <w:sz w:val="24"/>
          <w:szCs w:val="24"/>
          <w:lang w:eastAsia="ja-JP"/>
        </w:rPr>
        <w:fldChar w:fldCharType="begin"/>
      </w:r>
      <w:r w:rsidR="004E652D" w:rsidRPr="00C134AF">
        <w:rPr>
          <w:rFonts w:ascii="Times New Roman" w:eastAsia="Times New Roman" w:hAnsi="Times New Roman" w:cs="Times New Roman"/>
          <w:sz w:val="24"/>
          <w:szCs w:val="24"/>
          <w:lang w:eastAsia="ja-JP"/>
        </w:rPr>
        <w:instrText xml:space="preserve"> INCLUDEPICTURE "https://oxfordbrc.nihr.ac.uk/wp-content/uploads/2019/04/Oxford-Biomedical-Research-Centre_logo_outlined_RGB_COL-1024x256.jpg" \* MERGEFORMATINET </w:instrText>
      </w:r>
      <w:r w:rsidR="004E652D" w:rsidRPr="00C134AF">
        <w:rPr>
          <w:rFonts w:ascii="Times New Roman" w:eastAsia="Times New Roman" w:hAnsi="Times New Roman" w:cs="Times New Roman"/>
          <w:sz w:val="24"/>
          <w:szCs w:val="24"/>
          <w:lang w:eastAsia="ja-JP"/>
        </w:rPr>
        <w:fldChar w:fldCharType="end"/>
      </w:r>
    </w:p>
    <w:p w14:paraId="66401FD3" w14:textId="72AC2270" w:rsidR="005414C1" w:rsidRPr="008339A4" w:rsidRDefault="004E652D" w:rsidP="00722151">
      <w:pPr>
        <w:spacing w:before="8" w:after="8" w:line="240" w:lineRule="auto"/>
        <w:rPr>
          <w:rFonts w:asciiTheme="majorHAnsi" w:hAnsiTheme="majorHAnsi" w:cstheme="majorHAnsi"/>
          <w:color w:val="000000" w:themeColor="text1"/>
        </w:rPr>
      </w:pPr>
      <w:r w:rsidRPr="00C134AF">
        <w:rPr>
          <w:rFonts w:ascii="Times New Roman" w:eastAsia="Times New Roman" w:hAnsi="Times New Roman" w:cs="Times New Roman"/>
          <w:noProof/>
          <w:sz w:val="24"/>
          <w:szCs w:val="24"/>
          <w:lang w:eastAsia="ja-JP"/>
        </w:rPr>
        <w:drawing>
          <wp:anchor distT="0" distB="0" distL="114300" distR="114300" simplePos="0" relativeHeight="251659264" behindDoc="0" locked="0" layoutInCell="1" allowOverlap="1" wp14:anchorId="7E308530" wp14:editId="293443A5">
            <wp:simplePos x="0" y="0"/>
            <wp:positionH relativeFrom="column">
              <wp:posOffset>0</wp:posOffset>
            </wp:positionH>
            <wp:positionV relativeFrom="page">
              <wp:posOffset>676769</wp:posOffset>
            </wp:positionV>
            <wp:extent cx="2680335" cy="465455"/>
            <wp:effectExtent l="0" t="0" r="0" b="4445"/>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80335" cy="465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13328F" w14:textId="77777777" w:rsidR="00B04713" w:rsidRDefault="00B04713" w:rsidP="00B04713">
      <w:pPr>
        <w:spacing w:before="8" w:after="8" w:line="240" w:lineRule="auto"/>
        <w:ind w:left="-567"/>
        <w:rPr>
          <w:rFonts w:asciiTheme="majorHAnsi" w:hAnsiTheme="majorHAnsi" w:cstheme="majorHAnsi"/>
          <w:b/>
          <w:bCs/>
          <w:color w:val="000000" w:themeColor="text1"/>
        </w:rPr>
      </w:pPr>
    </w:p>
    <w:p w14:paraId="5E06F90A" w14:textId="77777777" w:rsidR="004E652D" w:rsidRDefault="004E652D" w:rsidP="00B04713">
      <w:pPr>
        <w:spacing w:before="8" w:after="8" w:line="240" w:lineRule="auto"/>
        <w:ind w:left="-567"/>
        <w:rPr>
          <w:rFonts w:asciiTheme="majorHAnsi" w:hAnsiTheme="majorHAnsi" w:cstheme="majorHAnsi"/>
          <w:b/>
          <w:bCs/>
          <w:color w:val="000000" w:themeColor="text1"/>
        </w:rPr>
      </w:pPr>
    </w:p>
    <w:p w14:paraId="5A733349" w14:textId="77777777" w:rsidR="004E652D" w:rsidRDefault="004E652D" w:rsidP="00B04713">
      <w:pPr>
        <w:spacing w:before="8" w:after="8" w:line="240" w:lineRule="auto"/>
        <w:ind w:left="-567"/>
        <w:rPr>
          <w:rFonts w:asciiTheme="majorHAnsi" w:hAnsiTheme="majorHAnsi" w:cstheme="majorHAnsi"/>
          <w:b/>
          <w:bCs/>
          <w:color w:val="000000" w:themeColor="text1"/>
        </w:rPr>
      </w:pPr>
    </w:p>
    <w:p w14:paraId="424D090A" w14:textId="77777777" w:rsidR="00936004" w:rsidRDefault="00936004" w:rsidP="00B04713">
      <w:pPr>
        <w:spacing w:before="8" w:after="8" w:line="240" w:lineRule="auto"/>
        <w:ind w:left="-567"/>
        <w:rPr>
          <w:rFonts w:asciiTheme="majorHAnsi" w:hAnsiTheme="majorHAnsi" w:cstheme="majorHAnsi"/>
          <w:b/>
          <w:bCs/>
          <w:color w:val="000000" w:themeColor="text1"/>
        </w:rPr>
      </w:pPr>
    </w:p>
    <w:p w14:paraId="0091ACED" w14:textId="58AF214C" w:rsidR="00C964E0" w:rsidRPr="00A46EF4" w:rsidRDefault="00C964E0" w:rsidP="00C964E0">
      <w:pPr>
        <w:spacing w:before="8" w:after="8" w:line="240" w:lineRule="auto"/>
        <w:ind w:left="-567"/>
        <w:rPr>
          <w:rFonts w:asciiTheme="majorHAnsi" w:hAnsiTheme="majorHAnsi" w:cstheme="majorHAnsi"/>
          <w:b/>
          <w:bCs/>
          <w:lang w:val="fr-FR"/>
        </w:rPr>
      </w:pPr>
      <w:r w:rsidRPr="00A46EF4">
        <w:rPr>
          <w:rFonts w:asciiTheme="majorHAnsi" w:hAnsiTheme="majorHAnsi" w:cstheme="majorHAnsi"/>
          <w:b/>
          <w:bCs/>
          <w:color w:val="000000" w:themeColor="text1"/>
          <w:lang w:val="fr-FR"/>
        </w:rPr>
        <w:t xml:space="preserve">Tableau </w:t>
      </w:r>
      <w:proofErr w:type="gramStart"/>
      <w:r w:rsidRPr="00A46EF4">
        <w:rPr>
          <w:rFonts w:asciiTheme="majorHAnsi" w:hAnsiTheme="majorHAnsi" w:cstheme="majorHAnsi"/>
          <w:b/>
          <w:bCs/>
          <w:color w:val="000000" w:themeColor="text1"/>
          <w:lang w:val="fr-FR"/>
        </w:rPr>
        <w:t>3:</w:t>
      </w:r>
      <w:proofErr w:type="gramEnd"/>
      <w:r w:rsidRPr="00A46EF4">
        <w:rPr>
          <w:rFonts w:asciiTheme="majorHAnsi" w:hAnsiTheme="majorHAnsi" w:cstheme="majorHAnsi"/>
          <w:color w:val="000000" w:themeColor="text1"/>
          <w:lang w:val="fr-FR"/>
        </w:rPr>
        <w:t xml:space="preserve"> </w:t>
      </w:r>
      <w:r w:rsidRPr="00A46EF4">
        <w:rPr>
          <w:rFonts w:asciiTheme="majorHAnsi" w:hAnsiTheme="majorHAnsi" w:cstheme="majorHAnsi"/>
          <w:b/>
          <w:bCs/>
          <w:color w:val="000000" w:themeColor="text1"/>
          <w:lang w:val="fr-FR"/>
        </w:rPr>
        <w:t>Traitement par lithium – Prise en charge des patients sous lithium pendant la pandémie de COVID-19</w:t>
      </w:r>
    </w:p>
    <w:p w14:paraId="15A6536F" w14:textId="38B95C42" w:rsidR="00C964E0" w:rsidRDefault="00C964E0" w:rsidP="00C964E0">
      <w:pPr>
        <w:spacing w:before="8" w:after="8" w:line="240" w:lineRule="auto"/>
        <w:ind w:left="-567"/>
        <w:rPr>
          <w:rFonts w:asciiTheme="majorHAnsi" w:hAnsiTheme="majorHAnsi" w:cstheme="majorHAnsi"/>
          <w:i/>
          <w:iCs/>
          <w:color w:val="000000" w:themeColor="text1"/>
          <w:sz w:val="21"/>
          <w:szCs w:val="21"/>
          <w:lang w:val="fr-FR"/>
        </w:rPr>
      </w:pPr>
      <w:r w:rsidRPr="00A46EF4">
        <w:rPr>
          <w:rFonts w:asciiTheme="majorHAnsi" w:hAnsiTheme="majorHAnsi" w:cstheme="majorHAnsi"/>
          <w:i/>
          <w:iCs/>
          <w:color w:val="000000" w:themeColor="text1"/>
          <w:sz w:val="21"/>
          <w:szCs w:val="21"/>
          <w:lang w:val="fr-FR"/>
        </w:rPr>
        <w:t>Veuillez noter que toutes les questions de chaque section sont liées les unes aux autres et doivent être lues conjointement. Sous chaque question se trouvent les liens Web vers les sources.</w:t>
      </w:r>
    </w:p>
    <w:p w14:paraId="076C8881" w14:textId="27878C25" w:rsidR="00B90067" w:rsidRPr="003D31D0" w:rsidRDefault="00B90067" w:rsidP="00B90067">
      <w:pPr>
        <w:spacing w:before="8" w:after="8" w:line="240" w:lineRule="auto"/>
        <w:ind w:left="-567"/>
        <w:rPr>
          <w:rFonts w:asciiTheme="majorHAnsi" w:hAnsiTheme="majorHAnsi" w:cstheme="majorHAnsi"/>
          <w:lang w:val="fr-FR"/>
        </w:rPr>
      </w:pPr>
      <w:r w:rsidRPr="003D31D0">
        <w:rPr>
          <w:rFonts w:asciiTheme="majorHAnsi" w:hAnsiTheme="majorHAnsi" w:cstheme="majorHAnsi"/>
          <w:i/>
          <w:iCs/>
          <w:color w:val="000000" w:themeColor="text1"/>
          <w:sz w:val="21"/>
          <w:szCs w:val="21"/>
          <w:lang w:val="fr-FR"/>
        </w:rPr>
        <w:t>Traduction</w:t>
      </w:r>
      <w:r w:rsidR="00085264" w:rsidRPr="003D31D0">
        <w:rPr>
          <w:rFonts w:asciiTheme="majorHAnsi" w:hAnsiTheme="majorHAnsi" w:cstheme="majorHAnsi"/>
          <w:i/>
          <w:iCs/>
          <w:color w:val="000000" w:themeColor="text1"/>
          <w:sz w:val="21"/>
          <w:szCs w:val="21"/>
          <w:lang w:val="fr-FR"/>
        </w:rPr>
        <w:t xml:space="preserve"> et adaptation</w:t>
      </w:r>
      <w:r w:rsidRPr="003D31D0">
        <w:rPr>
          <w:rFonts w:asciiTheme="majorHAnsi" w:hAnsiTheme="majorHAnsi" w:cstheme="majorHAnsi"/>
          <w:i/>
          <w:iCs/>
          <w:color w:val="000000" w:themeColor="text1"/>
          <w:sz w:val="21"/>
          <w:szCs w:val="21"/>
          <w:lang w:val="fr-FR"/>
        </w:rPr>
        <w:t xml:space="preserve"> française du tableau « </w:t>
      </w:r>
      <w:r w:rsidRPr="003D31D0">
        <w:rPr>
          <w:rFonts w:asciiTheme="majorHAnsi" w:hAnsiTheme="majorHAnsi" w:cstheme="majorHAnsi"/>
          <w:color w:val="000000" w:themeColor="text1"/>
          <w:lang w:val="fr-FR"/>
        </w:rPr>
        <w:t xml:space="preserve">Lithium </w:t>
      </w:r>
      <w:proofErr w:type="spellStart"/>
      <w:r w:rsidRPr="003D31D0">
        <w:rPr>
          <w:rFonts w:asciiTheme="majorHAnsi" w:hAnsiTheme="majorHAnsi" w:cstheme="majorHAnsi"/>
          <w:color w:val="000000" w:themeColor="text1"/>
          <w:lang w:val="fr-FR"/>
        </w:rPr>
        <w:t>treatment</w:t>
      </w:r>
      <w:proofErr w:type="spellEnd"/>
      <w:r w:rsidRPr="003D31D0">
        <w:rPr>
          <w:rFonts w:asciiTheme="majorHAnsi" w:hAnsiTheme="majorHAnsi" w:cstheme="majorHAnsi"/>
          <w:color w:val="000000" w:themeColor="text1"/>
          <w:lang w:val="fr-FR"/>
        </w:rPr>
        <w:t xml:space="preserve"> – How to manage patients on lithium </w:t>
      </w:r>
      <w:proofErr w:type="spellStart"/>
      <w:r w:rsidRPr="003D31D0">
        <w:rPr>
          <w:rFonts w:asciiTheme="majorHAnsi" w:hAnsiTheme="majorHAnsi" w:cstheme="majorHAnsi"/>
          <w:color w:val="000000" w:themeColor="text1"/>
          <w:lang w:val="fr-FR"/>
        </w:rPr>
        <w:t>during</w:t>
      </w:r>
      <w:proofErr w:type="spellEnd"/>
      <w:r w:rsidRPr="003D31D0">
        <w:rPr>
          <w:rFonts w:asciiTheme="majorHAnsi" w:hAnsiTheme="majorHAnsi" w:cstheme="majorHAnsi"/>
          <w:color w:val="000000" w:themeColor="text1"/>
          <w:lang w:val="fr-FR"/>
        </w:rPr>
        <w:t xml:space="preserve"> the COVID-19 </w:t>
      </w:r>
      <w:proofErr w:type="spellStart"/>
      <w:r w:rsidRPr="003D31D0">
        <w:rPr>
          <w:rFonts w:asciiTheme="majorHAnsi" w:hAnsiTheme="majorHAnsi" w:cstheme="majorHAnsi"/>
          <w:color w:val="000000" w:themeColor="text1"/>
          <w:lang w:val="fr-FR"/>
        </w:rPr>
        <w:t>pandemic</w:t>
      </w:r>
      <w:proofErr w:type="spellEnd"/>
      <w:r w:rsidRPr="003D31D0">
        <w:rPr>
          <w:rFonts w:asciiTheme="majorHAnsi" w:hAnsiTheme="majorHAnsi" w:cstheme="majorHAnsi"/>
          <w:color w:val="000000" w:themeColor="text1"/>
          <w:lang w:val="fr-FR"/>
        </w:rPr>
        <w:t>.</w:t>
      </w:r>
      <w:r w:rsidRPr="003D31D0">
        <w:rPr>
          <w:rFonts w:asciiTheme="majorHAnsi" w:hAnsiTheme="majorHAnsi" w:cstheme="majorHAnsi"/>
          <w:lang w:val="fr-FR"/>
        </w:rPr>
        <w:t>”</w:t>
      </w:r>
      <w:r w:rsidR="00AB380E" w:rsidRPr="003D31D0">
        <w:rPr>
          <w:rFonts w:asciiTheme="majorHAnsi" w:hAnsiTheme="majorHAnsi" w:cstheme="majorHAnsi"/>
          <w:lang w:val="fr-FR"/>
        </w:rPr>
        <w:t xml:space="preserve"> </w:t>
      </w:r>
      <w:hyperlink r:id="rId9" w:history="1">
        <w:r w:rsidR="00AB380E" w:rsidRPr="003D31D0">
          <w:rPr>
            <w:rStyle w:val="Lienhypertexte"/>
            <w:rFonts w:asciiTheme="majorHAnsi" w:hAnsiTheme="majorHAnsi" w:cstheme="majorHAnsi"/>
            <w:lang w:val="fr-FR"/>
          </w:rPr>
          <w:t>https://oxfordhealthbrc.nihr.ac.uk/our-work/oxppl/covid-19-and-mental-health-guidance/</w:t>
        </w:r>
      </w:hyperlink>
    </w:p>
    <w:p w14:paraId="61748354" w14:textId="04FB2841" w:rsidR="00F61097" w:rsidRDefault="00AB380E" w:rsidP="00F61097">
      <w:pPr>
        <w:spacing w:before="8" w:after="8" w:line="240" w:lineRule="auto"/>
        <w:ind w:left="-567"/>
        <w:rPr>
          <w:rFonts w:asciiTheme="majorHAnsi" w:hAnsiTheme="majorHAnsi" w:cstheme="majorHAnsi"/>
          <w:b/>
          <w:bCs/>
          <w:lang w:val="fr-FR"/>
        </w:rPr>
      </w:pPr>
      <w:r w:rsidRPr="00AB380E">
        <w:rPr>
          <w:rFonts w:asciiTheme="majorHAnsi" w:hAnsiTheme="majorHAnsi" w:cstheme="majorHAnsi"/>
          <w:i/>
          <w:iCs/>
          <w:color w:val="000000" w:themeColor="text1"/>
          <w:sz w:val="21"/>
          <w:szCs w:val="21"/>
          <w:lang w:val="fr-FR"/>
        </w:rPr>
        <w:t xml:space="preserve">Traduction par Antoine </w:t>
      </w:r>
      <w:proofErr w:type="spellStart"/>
      <w:r w:rsidRPr="00AB380E">
        <w:rPr>
          <w:rFonts w:asciiTheme="majorHAnsi" w:hAnsiTheme="majorHAnsi" w:cstheme="majorHAnsi"/>
          <w:i/>
          <w:iCs/>
          <w:color w:val="000000" w:themeColor="text1"/>
          <w:sz w:val="21"/>
          <w:szCs w:val="21"/>
          <w:lang w:val="fr-FR"/>
        </w:rPr>
        <w:t>Baldacci</w:t>
      </w:r>
      <w:proofErr w:type="spellEnd"/>
      <w:r w:rsidRPr="00AB380E">
        <w:rPr>
          <w:rFonts w:asciiTheme="majorHAnsi" w:hAnsiTheme="majorHAnsi" w:cstheme="majorHAnsi"/>
          <w:i/>
          <w:iCs/>
          <w:color w:val="000000" w:themeColor="text1"/>
          <w:sz w:val="21"/>
          <w:szCs w:val="21"/>
          <w:lang w:val="fr-FR"/>
        </w:rPr>
        <w:t>, D</w:t>
      </w:r>
      <w:r>
        <w:rPr>
          <w:rFonts w:asciiTheme="majorHAnsi" w:hAnsiTheme="majorHAnsi" w:cstheme="majorHAnsi"/>
          <w:i/>
          <w:iCs/>
          <w:color w:val="000000" w:themeColor="text1"/>
          <w:sz w:val="21"/>
          <w:szCs w:val="21"/>
          <w:lang w:val="fr-FR"/>
        </w:rPr>
        <w:t>r Astri</w:t>
      </w:r>
      <w:r w:rsidR="00923F18">
        <w:rPr>
          <w:rFonts w:asciiTheme="majorHAnsi" w:hAnsiTheme="majorHAnsi" w:cstheme="majorHAnsi"/>
          <w:i/>
          <w:iCs/>
          <w:color w:val="000000" w:themeColor="text1"/>
          <w:sz w:val="21"/>
          <w:szCs w:val="21"/>
          <w:lang w:val="fr-FR"/>
        </w:rPr>
        <w:t>d</w:t>
      </w:r>
      <w:r>
        <w:rPr>
          <w:rFonts w:asciiTheme="majorHAnsi" w:hAnsiTheme="majorHAnsi" w:cstheme="majorHAnsi"/>
          <w:i/>
          <w:iCs/>
          <w:color w:val="000000" w:themeColor="text1"/>
          <w:sz w:val="21"/>
          <w:szCs w:val="21"/>
          <w:lang w:val="fr-FR"/>
        </w:rPr>
        <w:t xml:space="preserve"> Chevance, Pr Chantal Henry</w:t>
      </w:r>
    </w:p>
    <w:p w14:paraId="3243F56B" w14:textId="742ADF5D" w:rsidR="00F61097" w:rsidRDefault="00F61097" w:rsidP="00F61097">
      <w:pPr>
        <w:spacing w:before="8" w:after="8" w:line="240" w:lineRule="auto"/>
        <w:ind w:left="-567"/>
        <w:rPr>
          <w:rFonts w:asciiTheme="majorHAnsi" w:hAnsiTheme="majorHAnsi" w:cstheme="majorHAnsi"/>
          <w:b/>
          <w:bCs/>
          <w:lang w:val="fr-FR"/>
        </w:rPr>
      </w:pPr>
    </w:p>
    <w:p w14:paraId="3461E5D3" w14:textId="77777777" w:rsidR="00F61097" w:rsidRPr="00A441A0" w:rsidRDefault="00F61097" w:rsidP="00F61097">
      <w:pPr>
        <w:spacing w:before="8" w:after="8" w:line="240" w:lineRule="auto"/>
        <w:ind w:left="-567" w:right="-359"/>
        <w:rPr>
          <w:rStyle w:val="Lienhypertexte"/>
          <w:rFonts w:asciiTheme="majorHAnsi" w:hAnsiTheme="majorHAnsi" w:cstheme="majorHAnsi"/>
          <w:color w:val="auto"/>
          <w:sz w:val="20"/>
          <w:szCs w:val="20"/>
          <w:u w:val="none"/>
        </w:rPr>
      </w:pPr>
      <w:r w:rsidRPr="00F61097">
        <w:rPr>
          <w:rFonts w:asciiTheme="majorHAnsi" w:hAnsiTheme="majorHAnsi" w:cstheme="majorHAnsi"/>
          <w:b/>
          <w:bCs/>
          <w:lang w:val="en-US"/>
        </w:rPr>
        <w:t xml:space="preserve">Sources : </w:t>
      </w:r>
      <w:r w:rsidRPr="00A441A0">
        <w:rPr>
          <w:rFonts w:asciiTheme="majorHAnsi" w:hAnsiTheme="majorHAnsi" w:cstheme="majorHAnsi"/>
          <w:sz w:val="20"/>
          <w:szCs w:val="20"/>
        </w:rPr>
        <w:t xml:space="preserve">Public Health England, </w:t>
      </w:r>
      <w:bookmarkStart w:id="0" w:name="_Hlk36482314"/>
      <w:r w:rsidRPr="00A441A0">
        <w:rPr>
          <w:rFonts w:asciiTheme="majorHAnsi" w:hAnsiTheme="majorHAnsi" w:cstheme="majorHAnsi"/>
          <w:sz w:val="20"/>
          <w:szCs w:val="20"/>
        </w:rPr>
        <w:t xml:space="preserve">Royal College of Psychiatrists </w:t>
      </w:r>
      <w:bookmarkEnd w:id="0"/>
      <w:r w:rsidRPr="00A441A0">
        <w:rPr>
          <w:rFonts w:asciiTheme="majorHAnsi" w:hAnsiTheme="majorHAnsi" w:cstheme="majorHAnsi"/>
          <w:sz w:val="20"/>
          <w:szCs w:val="20"/>
        </w:rPr>
        <w:t>(</w:t>
      </w:r>
      <w:proofErr w:type="spellStart"/>
      <w:r w:rsidRPr="00A441A0">
        <w:rPr>
          <w:rFonts w:asciiTheme="majorHAnsi" w:hAnsiTheme="majorHAnsi" w:cstheme="majorHAnsi"/>
          <w:sz w:val="20"/>
          <w:szCs w:val="20"/>
        </w:rPr>
        <w:t>RCPsych</w:t>
      </w:r>
      <w:proofErr w:type="spellEnd"/>
      <w:r w:rsidRPr="00A441A0">
        <w:rPr>
          <w:rFonts w:asciiTheme="majorHAnsi" w:hAnsiTheme="majorHAnsi" w:cstheme="majorHAnsi"/>
          <w:sz w:val="20"/>
          <w:szCs w:val="20"/>
        </w:rPr>
        <w:t xml:space="preserve">), Royal College of Nursing (RCN), </w:t>
      </w:r>
      <w:r>
        <w:rPr>
          <w:rFonts w:asciiTheme="majorHAnsi" w:hAnsiTheme="majorHAnsi" w:cstheme="majorHAnsi"/>
          <w:sz w:val="20"/>
          <w:szCs w:val="20"/>
        </w:rPr>
        <w:t xml:space="preserve">Royal College of General Practitioners (RCGP), </w:t>
      </w:r>
      <w:r w:rsidRPr="00A441A0">
        <w:rPr>
          <w:rFonts w:asciiTheme="majorHAnsi" w:hAnsiTheme="majorHAnsi" w:cstheme="majorHAnsi"/>
          <w:sz w:val="20"/>
          <w:szCs w:val="20"/>
        </w:rPr>
        <w:t xml:space="preserve">The National Association of Intensive Care and Low Secure Units (NAPICU), NICE, British Association of Psychopharmacology, Royal College of Physicians, Health Improvement Scotland, Prof D Taylor (Director of Pharmacy), SLAM NHS Trust, </w:t>
      </w:r>
      <w:r w:rsidRPr="00A441A0">
        <w:rPr>
          <w:rStyle w:val="Lienhypertexte"/>
          <w:rFonts w:asciiTheme="majorHAnsi" w:hAnsiTheme="majorHAnsi" w:cstheme="majorHAnsi"/>
          <w:color w:val="auto"/>
          <w:sz w:val="20"/>
          <w:szCs w:val="20"/>
          <w:u w:val="none"/>
        </w:rPr>
        <w:t>CDC (</w:t>
      </w:r>
      <w:proofErr w:type="spellStart"/>
      <w:r w:rsidRPr="00A441A0">
        <w:rPr>
          <w:rStyle w:val="Lienhypertexte"/>
          <w:rFonts w:asciiTheme="majorHAnsi" w:hAnsiTheme="majorHAnsi" w:cstheme="majorHAnsi"/>
          <w:color w:val="auto"/>
          <w:sz w:val="20"/>
          <w:szCs w:val="20"/>
          <w:u w:val="none"/>
        </w:rPr>
        <w:t>Centers</w:t>
      </w:r>
      <w:proofErr w:type="spellEnd"/>
      <w:r w:rsidRPr="00A441A0">
        <w:rPr>
          <w:rStyle w:val="Lienhypertexte"/>
          <w:rFonts w:asciiTheme="majorHAnsi" w:hAnsiTheme="majorHAnsi" w:cstheme="majorHAnsi"/>
          <w:color w:val="auto"/>
          <w:sz w:val="20"/>
          <w:szCs w:val="20"/>
          <w:u w:val="none"/>
        </w:rPr>
        <w:t xml:space="preserve"> for Disease Control and Prevention), US Department of </w:t>
      </w:r>
      <w:proofErr w:type="spellStart"/>
      <w:r w:rsidRPr="00A441A0">
        <w:rPr>
          <w:rStyle w:val="Lienhypertexte"/>
          <w:rFonts w:asciiTheme="majorHAnsi" w:hAnsiTheme="majorHAnsi" w:cstheme="majorHAnsi"/>
          <w:color w:val="auto"/>
          <w:sz w:val="20"/>
          <w:szCs w:val="20"/>
          <w:u w:val="none"/>
        </w:rPr>
        <w:t>Labor</w:t>
      </w:r>
      <w:proofErr w:type="spellEnd"/>
      <w:r w:rsidRPr="00A441A0">
        <w:rPr>
          <w:rStyle w:val="Lienhypertexte"/>
          <w:rFonts w:asciiTheme="majorHAnsi" w:hAnsiTheme="majorHAnsi" w:cstheme="majorHAnsi"/>
          <w:color w:val="auto"/>
          <w:sz w:val="20"/>
          <w:szCs w:val="20"/>
          <w:u w:val="none"/>
        </w:rPr>
        <w:t>, American Psychiatric Association, Massachusetts General Hospital Psychiatry, WHO, IASC (Inter Agency Standing Committee), UNICEF, WPA, Singapore Ministry of Health, Singapore Psychiatric Association, Singapore Medical Association, Health Canada (Government department), Canadian Psychiatric Association, Australian Government Department of Health, Royal Australian and New Zealand College of Psyc</w:t>
      </w:r>
      <w:r w:rsidRPr="00F61097">
        <w:rPr>
          <w:rStyle w:val="Lienhypertexte"/>
          <w:rFonts w:asciiTheme="majorHAnsi" w:hAnsiTheme="majorHAnsi" w:cstheme="majorHAnsi"/>
          <w:color w:val="auto"/>
          <w:sz w:val="20"/>
          <w:szCs w:val="20"/>
          <w:u w:val="none"/>
        </w:rPr>
        <w:t>hiatrists, Specialist pharmacy service</w:t>
      </w:r>
    </w:p>
    <w:p w14:paraId="2BC7D64B" w14:textId="2ABAAFB6" w:rsidR="00F61097" w:rsidRPr="00F61097" w:rsidRDefault="00F61097" w:rsidP="00F61097">
      <w:pPr>
        <w:spacing w:before="8" w:after="8" w:line="240" w:lineRule="auto"/>
        <w:ind w:left="-567"/>
        <w:rPr>
          <w:rFonts w:asciiTheme="majorHAnsi" w:hAnsiTheme="majorHAnsi" w:cstheme="majorHAnsi"/>
          <w:b/>
          <w:bCs/>
        </w:rPr>
      </w:pPr>
    </w:p>
    <w:p w14:paraId="1DDF0A27" w14:textId="77777777" w:rsidR="00B303A0" w:rsidRPr="00F61097" w:rsidRDefault="00B303A0" w:rsidP="00796C59">
      <w:pPr>
        <w:spacing w:before="8" w:after="8" w:line="240" w:lineRule="auto"/>
        <w:rPr>
          <w:rFonts w:asciiTheme="majorHAnsi" w:hAnsiTheme="majorHAnsi" w:cstheme="majorHAnsi"/>
          <w:lang w:val="en-US"/>
        </w:rPr>
      </w:pPr>
    </w:p>
    <w:tbl>
      <w:tblPr>
        <w:tblStyle w:val="Grilledutableau"/>
        <w:tblpPr w:leftFromText="180" w:rightFromText="180" w:vertAnchor="text" w:tblpX="-575" w:tblpY="1"/>
        <w:tblOverlap w:val="never"/>
        <w:tblW w:w="5369" w:type="pct"/>
        <w:tblLook w:val="04A0" w:firstRow="1" w:lastRow="0" w:firstColumn="1" w:lastColumn="0" w:noHBand="0" w:noVBand="1"/>
      </w:tblPr>
      <w:tblGrid>
        <w:gridCol w:w="3412"/>
        <w:gridCol w:w="11447"/>
      </w:tblGrid>
      <w:tr w:rsidR="00D54077" w:rsidRPr="00796C59" w14:paraId="41DC99C5" w14:textId="77777777" w:rsidTr="00D54077">
        <w:tc>
          <w:tcPr>
            <w:tcW w:w="1148" w:type="pct"/>
            <w:tcBorders>
              <w:top w:val="single" w:sz="48" w:space="0" w:color="E2F2FF"/>
              <w:left w:val="single" w:sz="48" w:space="0" w:color="E2F2FF"/>
              <w:bottom w:val="single" w:sz="4" w:space="0" w:color="auto"/>
              <w:right w:val="nil"/>
            </w:tcBorders>
            <w:shd w:val="clear" w:color="auto" w:fill="E2F2FF"/>
          </w:tcPr>
          <w:p w14:paraId="33698D3E" w14:textId="368410D2" w:rsidR="00D54077" w:rsidRPr="00796C59" w:rsidRDefault="00C964E0" w:rsidP="00D54077">
            <w:pPr>
              <w:spacing w:before="8" w:after="8"/>
              <w:rPr>
                <w:rFonts w:asciiTheme="majorHAnsi" w:hAnsiTheme="majorHAnsi" w:cstheme="majorHAnsi"/>
                <w:b/>
                <w:bCs/>
                <w:sz w:val="20"/>
                <w:szCs w:val="20"/>
              </w:rPr>
            </w:pPr>
            <w:r>
              <w:rPr>
                <w:rFonts w:asciiTheme="majorHAnsi" w:hAnsiTheme="majorHAnsi" w:cstheme="majorHAnsi"/>
                <w:b/>
                <w:bCs/>
                <w:sz w:val="20"/>
                <w:szCs w:val="20"/>
              </w:rPr>
              <w:t xml:space="preserve">Question </w:t>
            </w:r>
            <w:r w:rsidR="00A46EF4">
              <w:rPr>
                <w:rFonts w:asciiTheme="majorHAnsi" w:hAnsiTheme="majorHAnsi" w:cstheme="majorHAnsi"/>
                <w:b/>
                <w:bCs/>
                <w:sz w:val="20"/>
                <w:szCs w:val="20"/>
              </w:rPr>
              <w:t>C</w:t>
            </w:r>
            <w:r>
              <w:rPr>
                <w:rFonts w:asciiTheme="majorHAnsi" w:hAnsiTheme="majorHAnsi" w:cstheme="majorHAnsi"/>
                <w:b/>
                <w:bCs/>
                <w:sz w:val="20"/>
                <w:szCs w:val="20"/>
              </w:rPr>
              <w:t>linique</w:t>
            </w:r>
            <w:r w:rsidR="00D54077" w:rsidRPr="00796C59">
              <w:rPr>
                <w:rFonts w:asciiTheme="majorHAnsi" w:hAnsiTheme="majorHAnsi" w:cstheme="majorHAnsi"/>
                <w:b/>
                <w:bCs/>
                <w:sz w:val="20"/>
                <w:szCs w:val="20"/>
              </w:rPr>
              <w:t xml:space="preserve"> </w:t>
            </w:r>
          </w:p>
        </w:tc>
        <w:tc>
          <w:tcPr>
            <w:tcW w:w="3852" w:type="pct"/>
            <w:tcBorders>
              <w:top w:val="single" w:sz="48" w:space="0" w:color="E2F2FF"/>
              <w:left w:val="nil"/>
              <w:bottom w:val="single" w:sz="4" w:space="0" w:color="auto"/>
              <w:right w:val="single" w:sz="48" w:space="0" w:color="E2F2FF"/>
            </w:tcBorders>
            <w:shd w:val="clear" w:color="auto" w:fill="E2F2FF"/>
          </w:tcPr>
          <w:p w14:paraId="735C52DF" w14:textId="2983D532" w:rsidR="00D54077" w:rsidRPr="00796C59" w:rsidRDefault="00C964E0" w:rsidP="00936004">
            <w:pPr>
              <w:spacing w:before="8" w:after="8"/>
              <w:rPr>
                <w:rFonts w:asciiTheme="majorHAnsi" w:hAnsiTheme="majorHAnsi" w:cstheme="majorHAnsi"/>
                <w:b/>
                <w:bCs/>
                <w:sz w:val="20"/>
                <w:szCs w:val="20"/>
              </w:rPr>
            </w:pPr>
            <w:proofErr w:type="spellStart"/>
            <w:r>
              <w:rPr>
                <w:rFonts w:asciiTheme="majorHAnsi" w:hAnsiTheme="majorHAnsi" w:cstheme="majorHAnsi"/>
                <w:b/>
                <w:bCs/>
                <w:sz w:val="20"/>
                <w:szCs w:val="20"/>
              </w:rPr>
              <w:t>Recomm</w:t>
            </w:r>
            <w:r w:rsidR="00AB380E">
              <w:rPr>
                <w:rFonts w:asciiTheme="majorHAnsi" w:hAnsiTheme="majorHAnsi" w:cstheme="majorHAnsi"/>
                <w:b/>
                <w:bCs/>
                <w:sz w:val="20"/>
                <w:szCs w:val="20"/>
              </w:rPr>
              <w:t>a</w:t>
            </w:r>
            <w:r>
              <w:rPr>
                <w:rFonts w:asciiTheme="majorHAnsi" w:hAnsiTheme="majorHAnsi" w:cstheme="majorHAnsi"/>
                <w:b/>
                <w:bCs/>
                <w:sz w:val="20"/>
                <w:szCs w:val="20"/>
              </w:rPr>
              <w:t>ndation</w:t>
            </w:r>
            <w:r w:rsidR="00975629">
              <w:rPr>
                <w:rFonts w:asciiTheme="majorHAnsi" w:hAnsiTheme="majorHAnsi" w:cstheme="majorHAnsi"/>
                <w:b/>
                <w:bCs/>
                <w:sz w:val="20"/>
                <w:szCs w:val="20"/>
              </w:rPr>
              <w:t>s</w:t>
            </w:r>
            <w:proofErr w:type="spellEnd"/>
            <w:r>
              <w:rPr>
                <w:rFonts w:asciiTheme="majorHAnsi" w:hAnsiTheme="majorHAnsi" w:cstheme="majorHAnsi"/>
                <w:b/>
                <w:bCs/>
                <w:sz w:val="20"/>
                <w:szCs w:val="20"/>
              </w:rPr>
              <w:t xml:space="preserve"> </w:t>
            </w:r>
          </w:p>
        </w:tc>
      </w:tr>
      <w:tr w:rsidR="00D54077" w:rsidRPr="00796C59" w14:paraId="690D7DB0" w14:textId="77777777" w:rsidTr="00D54077">
        <w:tc>
          <w:tcPr>
            <w:tcW w:w="1148" w:type="pct"/>
            <w:tcBorders>
              <w:top w:val="single" w:sz="4" w:space="0" w:color="auto"/>
              <w:left w:val="single" w:sz="48" w:space="0" w:color="E2F2FF"/>
              <w:bottom w:val="nil"/>
              <w:right w:val="nil"/>
            </w:tcBorders>
            <w:shd w:val="clear" w:color="auto" w:fill="E2F2FF"/>
          </w:tcPr>
          <w:p w14:paraId="4703FEBF" w14:textId="77777777" w:rsidR="00D54077" w:rsidRPr="00796C59" w:rsidRDefault="00D54077" w:rsidP="00D54077">
            <w:pPr>
              <w:spacing w:before="8" w:after="8"/>
              <w:rPr>
                <w:rFonts w:asciiTheme="majorHAnsi" w:hAnsiTheme="majorHAnsi" w:cstheme="majorHAnsi"/>
                <w:b/>
                <w:bCs/>
                <w:sz w:val="20"/>
                <w:szCs w:val="20"/>
              </w:rPr>
            </w:pPr>
          </w:p>
        </w:tc>
        <w:tc>
          <w:tcPr>
            <w:tcW w:w="3852" w:type="pct"/>
            <w:tcBorders>
              <w:top w:val="single" w:sz="4" w:space="0" w:color="auto"/>
              <w:left w:val="nil"/>
              <w:bottom w:val="nil"/>
              <w:right w:val="single" w:sz="48" w:space="0" w:color="E2F2FF"/>
            </w:tcBorders>
            <w:shd w:val="clear" w:color="auto" w:fill="E2F2FF"/>
          </w:tcPr>
          <w:p w14:paraId="7F50B99A" w14:textId="77777777" w:rsidR="00D54077" w:rsidRPr="00796C59" w:rsidRDefault="00D54077" w:rsidP="00936004">
            <w:pPr>
              <w:spacing w:before="8" w:after="8"/>
              <w:rPr>
                <w:rFonts w:asciiTheme="majorHAnsi" w:hAnsiTheme="majorHAnsi" w:cstheme="majorHAnsi"/>
                <w:sz w:val="20"/>
                <w:szCs w:val="20"/>
              </w:rPr>
            </w:pPr>
          </w:p>
        </w:tc>
      </w:tr>
      <w:tr w:rsidR="00B04713" w:rsidRPr="00796C59" w14:paraId="3EC360B2" w14:textId="77777777" w:rsidTr="00D54077">
        <w:tc>
          <w:tcPr>
            <w:tcW w:w="5000" w:type="pct"/>
            <w:gridSpan w:val="2"/>
            <w:tcBorders>
              <w:top w:val="nil"/>
              <w:left w:val="single" w:sz="48" w:space="0" w:color="E2F2FF"/>
              <w:bottom w:val="nil"/>
              <w:right w:val="single" w:sz="48" w:space="0" w:color="E2F2FF"/>
            </w:tcBorders>
            <w:shd w:val="clear" w:color="auto" w:fill="002147"/>
          </w:tcPr>
          <w:p w14:paraId="7F981443" w14:textId="3BE9A68D" w:rsidR="00C134AF" w:rsidRPr="00796C59" w:rsidRDefault="00C964E0" w:rsidP="00936004">
            <w:pPr>
              <w:spacing w:before="8" w:after="8"/>
              <w:rPr>
                <w:rFonts w:asciiTheme="majorHAnsi" w:hAnsiTheme="majorHAnsi" w:cstheme="majorHAnsi"/>
                <w:b/>
                <w:bCs/>
                <w:sz w:val="20"/>
                <w:szCs w:val="20"/>
              </w:rPr>
            </w:pPr>
            <w:proofErr w:type="spellStart"/>
            <w:r>
              <w:rPr>
                <w:rFonts w:asciiTheme="majorHAnsi" w:hAnsiTheme="majorHAnsi" w:cstheme="majorHAnsi"/>
                <w:b/>
                <w:bCs/>
                <w:sz w:val="20"/>
                <w:szCs w:val="20"/>
              </w:rPr>
              <w:t>Débuter</w:t>
            </w:r>
            <w:proofErr w:type="spellEnd"/>
            <w:r>
              <w:rPr>
                <w:rFonts w:asciiTheme="majorHAnsi" w:hAnsiTheme="majorHAnsi" w:cstheme="majorHAnsi"/>
                <w:b/>
                <w:bCs/>
                <w:sz w:val="20"/>
                <w:szCs w:val="20"/>
              </w:rPr>
              <w:t xml:space="preserve"> le lithium</w:t>
            </w:r>
          </w:p>
        </w:tc>
      </w:tr>
      <w:tr w:rsidR="00796C59" w:rsidRPr="00EE2623" w14:paraId="3CD247A2" w14:textId="77777777" w:rsidTr="00D54077">
        <w:tc>
          <w:tcPr>
            <w:tcW w:w="1148" w:type="pct"/>
            <w:tcBorders>
              <w:top w:val="nil"/>
              <w:left w:val="single" w:sz="48" w:space="0" w:color="E2F2FF"/>
              <w:bottom w:val="nil"/>
              <w:right w:val="nil"/>
            </w:tcBorders>
            <w:shd w:val="clear" w:color="auto" w:fill="E2F2FF"/>
          </w:tcPr>
          <w:p w14:paraId="63CDA613" w14:textId="1EDBCEB2" w:rsidR="00C964E0" w:rsidRDefault="00AB380E" w:rsidP="00C964E0">
            <w:pPr>
              <w:spacing w:before="8" w:after="8"/>
              <w:rPr>
                <w:rFonts w:asciiTheme="majorHAnsi" w:hAnsiTheme="majorHAnsi" w:cstheme="majorHAnsi"/>
                <w:b/>
                <w:bCs/>
                <w:sz w:val="20"/>
                <w:szCs w:val="20"/>
                <w:lang w:val="fr-FR"/>
              </w:rPr>
            </w:pPr>
            <w:r>
              <w:rPr>
                <w:rFonts w:asciiTheme="majorHAnsi" w:hAnsiTheme="majorHAnsi" w:cstheme="majorHAnsi"/>
                <w:b/>
                <w:bCs/>
                <w:sz w:val="20"/>
                <w:szCs w:val="20"/>
                <w:lang w:val="fr-FR"/>
              </w:rPr>
              <w:t>I</w:t>
            </w:r>
            <w:r w:rsidR="00C964E0" w:rsidRPr="00987366">
              <w:rPr>
                <w:rFonts w:asciiTheme="majorHAnsi" w:hAnsiTheme="majorHAnsi" w:cstheme="majorHAnsi"/>
                <w:b/>
                <w:bCs/>
                <w:sz w:val="20"/>
                <w:szCs w:val="20"/>
                <w:lang w:val="fr-FR"/>
              </w:rPr>
              <w:t xml:space="preserve">ntroduire </w:t>
            </w:r>
            <w:r w:rsidR="00AD47EE">
              <w:rPr>
                <w:rFonts w:asciiTheme="majorHAnsi" w:hAnsiTheme="majorHAnsi" w:cstheme="majorHAnsi"/>
                <w:b/>
                <w:bCs/>
                <w:sz w:val="20"/>
                <w:szCs w:val="20"/>
                <w:lang w:val="fr-FR"/>
              </w:rPr>
              <w:t>le lithium</w:t>
            </w:r>
            <w:r w:rsidR="00C964E0" w:rsidRPr="00987366">
              <w:rPr>
                <w:rFonts w:asciiTheme="majorHAnsi" w:hAnsiTheme="majorHAnsi" w:cstheme="majorHAnsi"/>
                <w:b/>
                <w:bCs/>
                <w:sz w:val="20"/>
                <w:szCs w:val="20"/>
                <w:lang w:val="fr-FR"/>
              </w:rPr>
              <w:t xml:space="preserve"> </w:t>
            </w:r>
            <w:r>
              <w:rPr>
                <w:rFonts w:asciiTheme="majorHAnsi" w:hAnsiTheme="majorHAnsi" w:cstheme="majorHAnsi"/>
                <w:b/>
                <w:bCs/>
                <w:sz w:val="20"/>
                <w:szCs w:val="20"/>
                <w:lang w:val="fr-FR"/>
              </w:rPr>
              <w:t>en contexte de pandémie</w:t>
            </w:r>
          </w:p>
          <w:p w14:paraId="37DA20BB" w14:textId="541B46A1" w:rsidR="00AB380E" w:rsidRDefault="00AB380E" w:rsidP="00796C59">
            <w:pPr>
              <w:spacing w:before="8" w:after="8"/>
              <w:rPr>
                <w:rFonts w:asciiTheme="majorHAnsi" w:hAnsiTheme="majorHAnsi" w:cstheme="majorHAnsi"/>
                <w:sz w:val="20"/>
                <w:szCs w:val="20"/>
              </w:rPr>
            </w:pPr>
            <w:r w:rsidRPr="00796C59">
              <w:rPr>
                <w:rFonts w:asciiTheme="majorHAnsi" w:hAnsiTheme="majorHAnsi" w:cstheme="majorHAnsi"/>
                <w:sz w:val="20"/>
                <w:szCs w:val="20"/>
              </w:rPr>
              <w:t>[</w:t>
            </w:r>
            <w:hyperlink r:id="rId10" w:history="1">
              <w:r w:rsidRPr="00796C59">
                <w:rPr>
                  <w:rStyle w:val="Lienhypertexte"/>
                  <w:rFonts w:asciiTheme="majorHAnsi" w:hAnsiTheme="majorHAnsi" w:cstheme="majorHAnsi"/>
                  <w:sz w:val="20"/>
                  <w:szCs w:val="20"/>
                </w:rPr>
                <w:t>li</w:t>
              </w:r>
              <w:r>
                <w:rPr>
                  <w:rStyle w:val="Lienhypertexte"/>
                  <w:rFonts w:asciiTheme="majorHAnsi" w:hAnsiTheme="majorHAnsi" w:cstheme="majorHAnsi"/>
                  <w:sz w:val="20"/>
                  <w:szCs w:val="20"/>
                </w:rPr>
                <w:t>en</w:t>
              </w:r>
              <w:r w:rsidRPr="00796C59">
                <w:rPr>
                  <w:rStyle w:val="Lienhypertexte"/>
                  <w:rFonts w:asciiTheme="majorHAnsi" w:hAnsiTheme="majorHAnsi" w:cstheme="majorHAnsi"/>
                  <w:sz w:val="20"/>
                  <w:szCs w:val="20"/>
                </w:rPr>
                <w:t>1</w:t>
              </w:r>
            </w:hyperlink>
            <w:r w:rsidRPr="00796C59">
              <w:rPr>
                <w:rFonts w:asciiTheme="majorHAnsi" w:hAnsiTheme="majorHAnsi" w:cstheme="majorHAnsi"/>
                <w:sz w:val="20"/>
                <w:szCs w:val="20"/>
              </w:rPr>
              <w:t>]</w:t>
            </w:r>
          </w:p>
          <w:p w14:paraId="48D7B12E" w14:textId="6836CB71" w:rsidR="00C964E0" w:rsidRDefault="001D3EAE" w:rsidP="00796C59">
            <w:pPr>
              <w:spacing w:before="8" w:after="8"/>
              <w:rPr>
                <w:rFonts w:asciiTheme="majorHAnsi" w:hAnsiTheme="majorHAnsi" w:cstheme="majorHAnsi"/>
                <w:sz w:val="20"/>
                <w:szCs w:val="20"/>
              </w:rPr>
            </w:pPr>
            <w:r w:rsidRPr="001D3EAE">
              <w:rPr>
                <w:rFonts w:asciiTheme="majorHAnsi" w:hAnsiTheme="majorHAnsi" w:cstheme="majorHAnsi"/>
                <w:sz w:val="20"/>
                <w:szCs w:val="20"/>
              </w:rPr>
              <w:t>[</w:t>
            </w:r>
            <w:hyperlink r:id="rId11" w:history="1">
              <w:r w:rsidRPr="001D3EAE">
                <w:rPr>
                  <w:rStyle w:val="Lienhypertexte"/>
                </w:rPr>
                <w:t>lien</w:t>
              </w:r>
            </w:hyperlink>
            <w:r w:rsidR="00AB380E">
              <w:rPr>
                <w:rStyle w:val="Lienhypertexte"/>
              </w:rPr>
              <w:t>2</w:t>
            </w:r>
            <w:r w:rsidRPr="001D3EAE">
              <w:rPr>
                <w:rFonts w:asciiTheme="majorHAnsi" w:hAnsiTheme="majorHAnsi" w:cstheme="majorHAnsi"/>
                <w:sz w:val="20"/>
                <w:szCs w:val="20"/>
              </w:rPr>
              <w:t>]</w:t>
            </w:r>
          </w:p>
          <w:p w14:paraId="68615CD6" w14:textId="05AB4AC3" w:rsidR="00796C59" w:rsidRPr="00796C59" w:rsidRDefault="00796C59" w:rsidP="00AB380E">
            <w:pPr>
              <w:spacing w:before="8" w:after="8"/>
              <w:rPr>
                <w:rFonts w:asciiTheme="majorHAnsi" w:hAnsiTheme="majorHAnsi" w:cstheme="majorHAnsi"/>
                <w:b/>
                <w:bCs/>
                <w:sz w:val="20"/>
                <w:szCs w:val="20"/>
              </w:rPr>
            </w:pPr>
          </w:p>
        </w:tc>
        <w:tc>
          <w:tcPr>
            <w:tcW w:w="3852" w:type="pct"/>
            <w:tcBorders>
              <w:top w:val="nil"/>
              <w:left w:val="nil"/>
              <w:bottom w:val="nil"/>
              <w:right w:val="single" w:sz="48" w:space="0" w:color="E2F2FF"/>
            </w:tcBorders>
            <w:shd w:val="clear" w:color="auto" w:fill="E2F2FF"/>
          </w:tcPr>
          <w:p w14:paraId="3F958680" w14:textId="76880F6F" w:rsidR="001D3EAE" w:rsidRPr="00A46EF4" w:rsidRDefault="001D3EAE" w:rsidP="001D3EAE">
            <w:pPr>
              <w:spacing w:before="8" w:after="8" w:line="233" w:lineRule="auto"/>
              <w:rPr>
                <w:rFonts w:asciiTheme="majorHAnsi" w:eastAsia="Times New Roman" w:hAnsiTheme="majorHAnsi" w:cstheme="majorHAnsi"/>
                <w:b/>
                <w:bCs/>
                <w:color w:val="000000" w:themeColor="text1"/>
                <w:sz w:val="20"/>
                <w:szCs w:val="20"/>
                <w:lang w:val="fr-FR" w:eastAsia="ja-JP"/>
              </w:rPr>
            </w:pPr>
            <w:r w:rsidRPr="00A46EF4">
              <w:rPr>
                <w:rFonts w:asciiTheme="majorHAnsi" w:eastAsia="Times New Roman" w:hAnsiTheme="majorHAnsi" w:cstheme="majorHAnsi"/>
                <w:b/>
                <w:bCs/>
                <w:color w:val="000000" w:themeColor="text1"/>
                <w:sz w:val="20"/>
                <w:szCs w:val="20"/>
                <w:lang w:val="fr-FR" w:eastAsia="ja-JP"/>
              </w:rPr>
              <w:t xml:space="preserve">Il est possible d’introduire le lithium en suivant les </w:t>
            </w:r>
            <w:r w:rsidR="00A46EF4" w:rsidRPr="00A46EF4">
              <w:rPr>
                <w:rFonts w:asciiTheme="majorHAnsi" w:eastAsia="Times New Roman" w:hAnsiTheme="majorHAnsi" w:cstheme="majorHAnsi"/>
                <w:b/>
                <w:bCs/>
                <w:color w:val="000000" w:themeColor="text1"/>
                <w:sz w:val="20"/>
                <w:szCs w:val="20"/>
                <w:lang w:val="fr-FR" w:eastAsia="ja-JP"/>
              </w:rPr>
              <w:t>recommandations</w:t>
            </w:r>
            <w:r w:rsidRPr="00A46EF4">
              <w:rPr>
                <w:rFonts w:asciiTheme="majorHAnsi" w:eastAsia="Times New Roman" w:hAnsiTheme="majorHAnsi" w:cstheme="majorHAnsi"/>
                <w:b/>
                <w:bCs/>
                <w:color w:val="000000" w:themeColor="text1"/>
                <w:sz w:val="20"/>
                <w:szCs w:val="20"/>
                <w:lang w:val="fr-FR" w:eastAsia="ja-JP"/>
              </w:rPr>
              <w:t xml:space="preserve"> </w:t>
            </w:r>
            <w:r w:rsidR="00AB380E">
              <w:rPr>
                <w:rFonts w:asciiTheme="majorHAnsi" w:eastAsia="Times New Roman" w:hAnsiTheme="majorHAnsi" w:cstheme="majorHAnsi"/>
                <w:b/>
                <w:bCs/>
                <w:color w:val="000000" w:themeColor="text1"/>
                <w:sz w:val="20"/>
                <w:szCs w:val="20"/>
                <w:lang w:val="fr-FR" w:eastAsia="ja-JP"/>
              </w:rPr>
              <w:t xml:space="preserve">usuelles </w:t>
            </w:r>
            <w:r w:rsidRPr="00A46EF4">
              <w:rPr>
                <w:rFonts w:asciiTheme="majorHAnsi" w:eastAsia="Times New Roman" w:hAnsiTheme="majorHAnsi" w:cstheme="majorHAnsi"/>
                <w:b/>
                <w:bCs/>
                <w:color w:val="000000" w:themeColor="text1"/>
                <w:sz w:val="20"/>
                <w:szCs w:val="20"/>
                <w:lang w:val="fr-FR" w:eastAsia="ja-JP"/>
              </w:rPr>
              <w:t>de la HAS</w:t>
            </w:r>
            <w:r w:rsidR="00AC3903">
              <w:rPr>
                <w:rFonts w:asciiTheme="majorHAnsi" w:eastAsia="Times New Roman" w:hAnsiTheme="majorHAnsi" w:cstheme="majorHAnsi"/>
                <w:b/>
                <w:bCs/>
                <w:color w:val="000000" w:themeColor="text1"/>
                <w:sz w:val="20"/>
                <w:szCs w:val="20"/>
                <w:lang w:val="fr-FR" w:eastAsia="ja-JP"/>
              </w:rPr>
              <w:t xml:space="preserve"> </w:t>
            </w:r>
            <w:r w:rsidRPr="00AC3903">
              <w:rPr>
                <w:rFonts w:asciiTheme="majorHAnsi" w:eastAsia="Times New Roman" w:hAnsiTheme="majorHAnsi" w:cstheme="majorHAnsi"/>
                <w:color w:val="000000" w:themeColor="text1"/>
                <w:sz w:val="20"/>
                <w:szCs w:val="20"/>
                <w:lang w:val="fr-FR" w:eastAsia="ja-JP"/>
              </w:rPr>
              <w:t xml:space="preserve">(voir </w:t>
            </w:r>
            <w:r w:rsidR="00AB380E" w:rsidRPr="00AC3903">
              <w:rPr>
                <w:rFonts w:asciiTheme="majorHAnsi" w:eastAsia="Times New Roman" w:hAnsiTheme="majorHAnsi" w:cstheme="majorHAnsi"/>
                <w:color w:val="000000" w:themeColor="text1"/>
                <w:sz w:val="20"/>
                <w:szCs w:val="20"/>
                <w:lang w:val="fr-FR" w:eastAsia="ja-JP"/>
              </w:rPr>
              <w:t>n</w:t>
            </w:r>
            <w:r w:rsidR="00AB380E" w:rsidRPr="00AC3903">
              <w:rPr>
                <w:rFonts w:eastAsia="Times New Roman"/>
                <w:color w:val="000000" w:themeColor="text1"/>
                <w:lang w:val="fr-FR" w:eastAsia="ja-JP"/>
              </w:rPr>
              <w:t xml:space="preserve">ote </w:t>
            </w:r>
            <w:r w:rsidR="006204E7">
              <w:rPr>
                <w:rFonts w:eastAsia="Times New Roman"/>
                <w:color w:val="000000" w:themeColor="text1"/>
                <w:lang w:val="fr-FR" w:eastAsia="ja-JP"/>
              </w:rPr>
              <w:t xml:space="preserve">à la </w:t>
            </w:r>
            <w:r w:rsidR="001F4AB3">
              <w:rPr>
                <w:rFonts w:eastAsia="Times New Roman"/>
                <w:color w:val="000000" w:themeColor="text1"/>
                <w:lang w:val="fr-FR" w:eastAsia="ja-JP"/>
              </w:rPr>
              <w:t>fin du texte</w:t>
            </w:r>
            <w:r w:rsidR="00AB380E" w:rsidRPr="00AC3903">
              <w:rPr>
                <w:rFonts w:eastAsia="Times New Roman"/>
                <w:color w:val="000000" w:themeColor="text1"/>
                <w:lang w:val="fr-FR" w:eastAsia="ja-JP"/>
              </w:rPr>
              <w:t>1</w:t>
            </w:r>
            <w:r w:rsidRPr="00AC3903">
              <w:rPr>
                <w:rFonts w:asciiTheme="majorHAnsi" w:eastAsia="Times New Roman" w:hAnsiTheme="majorHAnsi" w:cstheme="majorHAnsi"/>
                <w:color w:val="000000" w:themeColor="text1"/>
                <w:sz w:val="20"/>
                <w:szCs w:val="20"/>
                <w:lang w:val="fr-FR" w:eastAsia="ja-JP"/>
              </w:rPr>
              <w:t>).</w:t>
            </w:r>
            <w:r w:rsidRPr="00A46EF4">
              <w:rPr>
                <w:rFonts w:asciiTheme="majorHAnsi" w:eastAsia="Times New Roman" w:hAnsiTheme="majorHAnsi" w:cstheme="majorHAnsi"/>
                <w:b/>
                <w:bCs/>
                <w:color w:val="000000" w:themeColor="text1"/>
                <w:sz w:val="20"/>
                <w:szCs w:val="20"/>
                <w:lang w:val="fr-FR" w:eastAsia="ja-JP"/>
              </w:rPr>
              <w:t xml:space="preserve"> </w:t>
            </w:r>
            <w:r w:rsidR="00AC3903">
              <w:rPr>
                <w:rFonts w:asciiTheme="majorHAnsi" w:eastAsia="Times New Roman" w:hAnsiTheme="majorHAnsi" w:cstheme="majorHAnsi"/>
                <w:b/>
                <w:bCs/>
                <w:color w:val="000000" w:themeColor="text1"/>
                <w:sz w:val="20"/>
                <w:szCs w:val="20"/>
                <w:lang w:val="fr-FR" w:eastAsia="ja-JP"/>
              </w:rPr>
              <w:t xml:space="preserve">La balance de l’urgence clinique de l’introduction du lithium et de la capacité à assurer la surveillance de cette introduction doit être prise en compte. </w:t>
            </w:r>
            <w:r w:rsidRPr="00AC3903">
              <w:rPr>
                <w:rFonts w:asciiTheme="majorHAnsi" w:eastAsia="Times New Roman" w:hAnsiTheme="majorHAnsi" w:cstheme="majorHAnsi"/>
                <w:color w:val="000000" w:themeColor="text1"/>
                <w:sz w:val="20"/>
                <w:szCs w:val="20"/>
                <w:lang w:val="fr-FR" w:eastAsia="ja-JP"/>
              </w:rPr>
              <w:t xml:space="preserve">Étant donné que cela nécessite </w:t>
            </w:r>
            <w:r w:rsidR="00A46EF4" w:rsidRPr="00AC3903">
              <w:rPr>
                <w:rFonts w:asciiTheme="majorHAnsi" w:eastAsia="Times New Roman" w:hAnsiTheme="majorHAnsi" w:cstheme="majorHAnsi"/>
                <w:color w:val="000000" w:themeColor="text1"/>
                <w:sz w:val="20"/>
                <w:szCs w:val="20"/>
                <w:lang w:val="fr-FR" w:eastAsia="ja-JP"/>
              </w:rPr>
              <w:t>des</w:t>
            </w:r>
            <w:r w:rsidR="00A46EF4" w:rsidRPr="00A46EF4">
              <w:rPr>
                <w:rFonts w:asciiTheme="majorHAnsi" w:eastAsia="Times New Roman" w:hAnsiTheme="majorHAnsi" w:cstheme="majorHAnsi"/>
                <w:b/>
                <w:bCs/>
                <w:color w:val="000000" w:themeColor="text1"/>
                <w:sz w:val="20"/>
                <w:szCs w:val="20"/>
                <w:lang w:val="fr-FR" w:eastAsia="ja-JP"/>
              </w:rPr>
              <w:t xml:space="preserve"> mesures</w:t>
            </w:r>
            <w:r w:rsidRPr="00A46EF4">
              <w:rPr>
                <w:rFonts w:asciiTheme="majorHAnsi" w:eastAsia="Times New Roman" w:hAnsiTheme="majorHAnsi" w:cstheme="majorHAnsi"/>
                <w:b/>
                <w:bCs/>
                <w:color w:val="000000" w:themeColor="text1"/>
                <w:sz w:val="20"/>
                <w:szCs w:val="20"/>
                <w:lang w:val="fr-FR" w:eastAsia="ja-JP"/>
              </w:rPr>
              <w:t xml:space="preserve"> de la lithémie fréquentes dans la phase initiale, </w:t>
            </w:r>
            <w:r w:rsidR="00AC3903" w:rsidRPr="00AC3903">
              <w:rPr>
                <w:rFonts w:asciiTheme="majorHAnsi" w:eastAsia="Times New Roman" w:hAnsiTheme="majorHAnsi" w:cstheme="majorHAnsi"/>
                <w:color w:val="000000" w:themeColor="text1"/>
                <w:sz w:val="20"/>
                <w:szCs w:val="20"/>
                <w:lang w:val="fr-FR" w:eastAsia="ja-JP"/>
              </w:rPr>
              <w:t>de</w:t>
            </w:r>
            <w:r w:rsidR="001340F4">
              <w:rPr>
                <w:rFonts w:asciiTheme="majorHAnsi" w:eastAsia="Times New Roman" w:hAnsiTheme="majorHAnsi" w:cstheme="majorHAnsi"/>
                <w:color w:val="000000" w:themeColor="text1"/>
                <w:sz w:val="20"/>
                <w:szCs w:val="20"/>
                <w:lang w:val="fr-FR" w:eastAsia="ja-JP"/>
              </w:rPr>
              <w:t xml:space="preserve">s </w:t>
            </w:r>
            <w:r w:rsidR="00AC3903" w:rsidRPr="00AC3903">
              <w:rPr>
                <w:rFonts w:asciiTheme="majorHAnsi" w:eastAsia="Times New Roman" w:hAnsiTheme="majorHAnsi" w:cstheme="majorHAnsi"/>
                <w:color w:val="000000" w:themeColor="text1"/>
                <w:sz w:val="20"/>
                <w:szCs w:val="20"/>
                <w:lang w:val="fr-FR" w:eastAsia="ja-JP"/>
              </w:rPr>
              <w:t>alternatives thérapeutiques doivent être évaluées</w:t>
            </w:r>
            <w:r w:rsidR="00FD0FBC" w:rsidRPr="00AC3903">
              <w:rPr>
                <w:rFonts w:asciiTheme="majorHAnsi" w:eastAsia="Times New Roman" w:hAnsiTheme="majorHAnsi" w:cstheme="majorHAnsi"/>
                <w:color w:val="000000" w:themeColor="text1"/>
                <w:sz w:val="20"/>
                <w:szCs w:val="20"/>
                <w:lang w:val="fr-FR" w:eastAsia="ja-JP"/>
              </w:rPr>
              <w:t xml:space="preserve"> </w:t>
            </w:r>
            <w:r w:rsidRPr="00AC3903">
              <w:rPr>
                <w:rFonts w:asciiTheme="majorHAnsi" w:eastAsia="Times New Roman" w:hAnsiTheme="majorHAnsi" w:cstheme="majorHAnsi"/>
                <w:color w:val="000000" w:themeColor="text1"/>
                <w:sz w:val="20"/>
                <w:szCs w:val="20"/>
                <w:lang w:val="fr-FR" w:eastAsia="ja-JP"/>
              </w:rPr>
              <w:t>(voir question 2)</w:t>
            </w:r>
            <w:r w:rsidRPr="00A46EF4">
              <w:rPr>
                <w:rFonts w:asciiTheme="majorHAnsi" w:eastAsia="Times New Roman" w:hAnsiTheme="majorHAnsi" w:cstheme="majorHAnsi"/>
                <w:b/>
                <w:bCs/>
                <w:color w:val="000000" w:themeColor="text1"/>
                <w:sz w:val="20"/>
                <w:szCs w:val="20"/>
                <w:lang w:val="fr-FR" w:eastAsia="ja-JP"/>
              </w:rPr>
              <w:t>.</w:t>
            </w:r>
          </w:p>
          <w:p w14:paraId="36DE4F96" w14:textId="05E1B5E3" w:rsidR="000612A4" w:rsidRDefault="000612A4" w:rsidP="000612A4">
            <w:pPr>
              <w:spacing w:before="8" w:after="8" w:line="233" w:lineRule="auto"/>
              <w:rPr>
                <w:rFonts w:asciiTheme="majorHAnsi" w:eastAsia="Times New Roman" w:hAnsiTheme="majorHAnsi" w:cstheme="majorHAnsi"/>
                <w:color w:val="000000" w:themeColor="text1"/>
                <w:sz w:val="20"/>
                <w:szCs w:val="20"/>
                <w:lang w:val="fr-FR" w:eastAsia="ja-JP"/>
              </w:rPr>
            </w:pPr>
          </w:p>
          <w:p w14:paraId="3F0B7CD6" w14:textId="18B6CB9A" w:rsidR="00B913B7" w:rsidRDefault="00B913B7" w:rsidP="000612A4">
            <w:pPr>
              <w:spacing w:before="8" w:after="8" w:line="233" w:lineRule="auto"/>
              <w:rPr>
                <w:rFonts w:asciiTheme="majorHAnsi" w:eastAsia="Times New Roman" w:hAnsiTheme="majorHAnsi" w:cstheme="majorHAnsi"/>
                <w:color w:val="000000" w:themeColor="text1"/>
                <w:sz w:val="20"/>
                <w:szCs w:val="20"/>
                <w:lang w:val="fr-FR" w:eastAsia="ja-JP"/>
              </w:rPr>
            </w:pPr>
            <w:r>
              <w:rPr>
                <w:rFonts w:asciiTheme="majorHAnsi" w:eastAsia="Times New Roman" w:hAnsiTheme="majorHAnsi" w:cstheme="majorHAnsi"/>
                <w:color w:val="000000" w:themeColor="text1"/>
                <w:sz w:val="20"/>
                <w:szCs w:val="20"/>
                <w:lang w:val="fr-FR" w:eastAsia="ja-JP"/>
              </w:rPr>
              <w:t>S</w:t>
            </w:r>
            <w:r w:rsidRPr="00923F18">
              <w:rPr>
                <w:rFonts w:asciiTheme="majorHAnsi" w:eastAsia="Times New Roman" w:hAnsiTheme="majorHAnsi" w:cstheme="majorHAnsi"/>
                <w:color w:val="000000" w:themeColor="text1"/>
                <w:sz w:val="20"/>
                <w:szCs w:val="20"/>
                <w:lang w:val="fr-FR" w:eastAsia="ja-JP"/>
              </w:rPr>
              <w:t>i</w:t>
            </w:r>
            <w:r w:rsidRPr="00B913B7">
              <w:rPr>
                <w:rFonts w:asciiTheme="majorHAnsi" w:eastAsia="Times New Roman" w:hAnsiTheme="majorHAnsi" w:cstheme="majorHAnsi"/>
                <w:b/>
                <w:bCs/>
                <w:color w:val="000000" w:themeColor="text1"/>
                <w:sz w:val="20"/>
                <w:szCs w:val="20"/>
                <w:lang w:val="fr-FR" w:eastAsia="ja-JP"/>
              </w:rPr>
              <w:t xml:space="preserve"> le patient est dans une dynamique de repli sur soi ou s’il présente des symptômes évocateurs de COVID-19,</w:t>
            </w:r>
            <w:r>
              <w:rPr>
                <w:rFonts w:asciiTheme="majorHAnsi" w:eastAsia="Times New Roman" w:hAnsiTheme="majorHAnsi" w:cstheme="majorHAnsi"/>
                <w:color w:val="000000" w:themeColor="text1"/>
                <w:sz w:val="20"/>
                <w:szCs w:val="20"/>
                <w:lang w:val="fr-FR" w:eastAsia="ja-JP"/>
              </w:rPr>
              <w:t xml:space="preserve"> l’initiation du lithium doit être reportée. </w:t>
            </w:r>
          </w:p>
          <w:p w14:paraId="37AD87FF" w14:textId="77777777" w:rsidR="00B913B7" w:rsidRPr="00A46EF4" w:rsidRDefault="00B913B7" w:rsidP="000612A4">
            <w:pPr>
              <w:spacing w:before="8" w:after="8" w:line="233" w:lineRule="auto"/>
              <w:rPr>
                <w:rFonts w:asciiTheme="majorHAnsi" w:eastAsia="Times New Roman" w:hAnsiTheme="majorHAnsi" w:cstheme="majorHAnsi"/>
                <w:color w:val="000000" w:themeColor="text1"/>
                <w:sz w:val="20"/>
                <w:szCs w:val="20"/>
                <w:lang w:val="fr-FR" w:eastAsia="ja-JP"/>
              </w:rPr>
            </w:pPr>
          </w:p>
          <w:p w14:paraId="5576EBC2" w14:textId="22B5677F" w:rsidR="000612A4" w:rsidRPr="00A46EF4" w:rsidRDefault="00AB380E" w:rsidP="000612A4">
            <w:pPr>
              <w:spacing w:before="8" w:after="8" w:line="233" w:lineRule="auto"/>
              <w:rPr>
                <w:rFonts w:asciiTheme="majorHAnsi" w:eastAsia="Times New Roman" w:hAnsiTheme="majorHAnsi" w:cstheme="majorHAnsi"/>
                <w:color w:val="000000" w:themeColor="text1"/>
                <w:sz w:val="20"/>
                <w:szCs w:val="20"/>
                <w:lang w:val="fr-FR" w:eastAsia="ja-JP"/>
              </w:rPr>
            </w:pPr>
            <w:r>
              <w:rPr>
                <w:rFonts w:asciiTheme="majorHAnsi" w:eastAsia="Times New Roman" w:hAnsiTheme="majorHAnsi" w:cstheme="majorHAnsi"/>
                <w:color w:val="000000" w:themeColor="text1"/>
                <w:sz w:val="20"/>
                <w:szCs w:val="20"/>
                <w:lang w:val="fr-FR" w:eastAsia="ja-JP"/>
              </w:rPr>
              <w:t>D’une façon générale</w:t>
            </w:r>
            <w:r w:rsidR="000612A4" w:rsidRPr="00A46EF4">
              <w:rPr>
                <w:rFonts w:asciiTheme="majorHAnsi" w:eastAsia="Times New Roman" w:hAnsiTheme="majorHAnsi" w:cstheme="majorHAnsi"/>
                <w:color w:val="000000" w:themeColor="text1"/>
                <w:sz w:val="20"/>
                <w:szCs w:val="20"/>
                <w:lang w:val="fr-FR" w:eastAsia="ja-JP"/>
              </w:rPr>
              <w:t>, pour tous les médicaments psychotropes</w:t>
            </w:r>
            <w:r>
              <w:rPr>
                <w:rFonts w:asciiTheme="majorHAnsi" w:eastAsia="Times New Roman" w:hAnsiTheme="majorHAnsi" w:cstheme="majorHAnsi"/>
                <w:color w:val="000000" w:themeColor="text1"/>
                <w:sz w:val="20"/>
                <w:szCs w:val="20"/>
                <w:lang w:val="fr-FR" w:eastAsia="ja-JP"/>
              </w:rPr>
              <w:t> </w:t>
            </w:r>
            <w:r>
              <w:rPr>
                <w:rFonts w:eastAsia="Times New Roman"/>
                <w:color w:val="000000" w:themeColor="text1"/>
                <w:lang w:val="fr-FR" w:eastAsia="ja-JP"/>
              </w:rPr>
              <w:t>:</w:t>
            </w:r>
          </w:p>
          <w:p w14:paraId="4E3F57E7" w14:textId="3F2B60EC" w:rsidR="000612A4" w:rsidRPr="00A46EF4" w:rsidRDefault="000612A4" w:rsidP="000612A4">
            <w:pPr>
              <w:pStyle w:val="Paragraphedeliste"/>
              <w:numPr>
                <w:ilvl w:val="0"/>
                <w:numId w:val="26"/>
              </w:numPr>
              <w:spacing w:before="8" w:after="8" w:line="233" w:lineRule="auto"/>
              <w:rPr>
                <w:rFonts w:asciiTheme="majorHAnsi" w:eastAsia="Times New Roman" w:hAnsiTheme="majorHAnsi" w:cstheme="majorHAnsi"/>
                <w:color w:val="000000" w:themeColor="text1"/>
                <w:sz w:val="20"/>
                <w:szCs w:val="20"/>
                <w:lang w:val="fr-FR" w:eastAsia="ja-JP"/>
              </w:rPr>
            </w:pPr>
            <w:r w:rsidRPr="00A46EF4">
              <w:rPr>
                <w:rFonts w:asciiTheme="majorHAnsi" w:eastAsia="Times New Roman" w:hAnsiTheme="majorHAnsi" w:cstheme="majorHAnsi"/>
                <w:color w:val="000000" w:themeColor="text1"/>
                <w:sz w:val="20"/>
                <w:szCs w:val="20"/>
                <w:lang w:val="fr-FR" w:eastAsia="ja-JP"/>
              </w:rPr>
              <w:t xml:space="preserve">Une attention particulière doit être portée à toute </w:t>
            </w:r>
            <w:r w:rsidR="00A46EF4" w:rsidRPr="00A46EF4">
              <w:rPr>
                <w:rFonts w:asciiTheme="majorHAnsi" w:eastAsia="Times New Roman" w:hAnsiTheme="majorHAnsi" w:cstheme="majorHAnsi"/>
                <w:color w:val="000000" w:themeColor="text1"/>
                <w:sz w:val="20"/>
                <w:szCs w:val="20"/>
                <w:lang w:val="fr-FR" w:eastAsia="ja-JP"/>
              </w:rPr>
              <w:t>décision</w:t>
            </w:r>
            <w:r w:rsidRPr="00A46EF4">
              <w:rPr>
                <w:rFonts w:asciiTheme="majorHAnsi" w:eastAsia="Times New Roman" w:hAnsiTheme="majorHAnsi" w:cstheme="majorHAnsi"/>
                <w:color w:val="000000" w:themeColor="text1"/>
                <w:sz w:val="20"/>
                <w:szCs w:val="20"/>
                <w:lang w:val="fr-FR" w:eastAsia="ja-JP"/>
              </w:rPr>
              <w:t xml:space="preserve"> de modification</w:t>
            </w:r>
            <w:r w:rsidR="00B913B7">
              <w:rPr>
                <w:rFonts w:asciiTheme="majorHAnsi" w:eastAsia="Times New Roman" w:hAnsiTheme="majorHAnsi" w:cstheme="majorHAnsi"/>
                <w:color w:val="000000" w:themeColor="text1"/>
                <w:sz w:val="20"/>
                <w:szCs w:val="20"/>
                <w:lang w:val="fr-FR" w:eastAsia="ja-JP"/>
              </w:rPr>
              <w:t>s</w:t>
            </w:r>
            <w:r w:rsidRPr="00A46EF4">
              <w:rPr>
                <w:rFonts w:asciiTheme="majorHAnsi" w:eastAsia="Times New Roman" w:hAnsiTheme="majorHAnsi" w:cstheme="majorHAnsi"/>
                <w:color w:val="000000" w:themeColor="text1"/>
                <w:sz w:val="20"/>
                <w:szCs w:val="20"/>
                <w:lang w:val="fr-FR" w:eastAsia="ja-JP"/>
              </w:rPr>
              <w:t xml:space="preserve"> thérapeutique</w:t>
            </w:r>
            <w:r w:rsidR="00B913B7">
              <w:rPr>
                <w:rFonts w:asciiTheme="majorHAnsi" w:eastAsia="Times New Roman" w:hAnsiTheme="majorHAnsi" w:cstheme="majorHAnsi"/>
                <w:color w:val="000000" w:themeColor="text1"/>
                <w:sz w:val="20"/>
                <w:szCs w:val="20"/>
                <w:lang w:val="fr-FR" w:eastAsia="ja-JP"/>
              </w:rPr>
              <w:t>s (diminution ou arrêt)</w:t>
            </w:r>
            <w:r w:rsidRPr="00A46EF4">
              <w:rPr>
                <w:rFonts w:asciiTheme="majorHAnsi" w:eastAsia="Times New Roman" w:hAnsiTheme="majorHAnsi" w:cstheme="majorHAnsi"/>
                <w:color w:val="000000" w:themeColor="text1"/>
                <w:sz w:val="20"/>
                <w:szCs w:val="20"/>
                <w:lang w:val="fr-FR" w:eastAsia="ja-JP"/>
              </w:rPr>
              <w:t xml:space="preserve">. </w:t>
            </w:r>
            <w:r w:rsidR="00AB380E">
              <w:rPr>
                <w:rFonts w:asciiTheme="majorHAnsi" w:eastAsia="Times New Roman" w:hAnsiTheme="majorHAnsi" w:cstheme="majorHAnsi"/>
                <w:color w:val="000000" w:themeColor="text1"/>
                <w:sz w:val="20"/>
                <w:szCs w:val="20"/>
                <w:lang w:val="fr-FR" w:eastAsia="ja-JP"/>
              </w:rPr>
              <w:t>C</w:t>
            </w:r>
            <w:r w:rsidR="00AB380E">
              <w:rPr>
                <w:rFonts w:eastAsia="Times New Roman"/>
                <w:color w:val="000000" w:themeColor="text1"/>
                <w:lang w:val="fr-FR" w:eastAsia="ja-JP"/>
              </w:rPr>
              <w:t>ertaines situations cliniques rendent ces modifications</w:t>
            </w:r>
            <w:r w:rsidRPr="00A46EF4">
              <w:rPr>
                <w:rFonts w:asciiTheme="majorHAnsi" w:eastAsia="Times New Roman" w:hAnsiTheme="majorHAnsi" w:cstheme="majorHAnsi"/>
                <w:color w:val="000000" w:themeColor="text1"/>
                <w:sz w:val="20"/>
                <w:szCs w:val="20"/>
                <w:lang w:val="fr-FR" w:eastAsia="ja-JP"/>
              </w:rPr>
              <w:t xml:space="preserve"> </w:t>
            </w:r>
            <w:r w:rsidR="00AC3903">
              <w:rPr>
                <w:rFonts w:asciiTheme="majorHAnsi" w:eastAsia="Times New Roman" w:hAnsiTheme="majorHAnsi" w:cstheme="majorHAnsi"/>
                <w:color w:val="000000" w:themeColor="text1"/>
                <w:sz w:val="20"/>
                <w:szCs w:val="20"/>
                <w:lang w:val="fr-FR" w:eastAsia="ja-JP"/>
              </w:rPr>
              <w:t>nécessaires et</w:t>
            </w:r>
            <w:r w:rsidRPr="00A46EF4">
              <w:rPr>
                <w:rFonts w:asciiTheme="majorHAnsi" w:eastAsia="Times New Roman" w:hAnsiTheme="majorHAnsi" w:cstheme="majorHAnsi"/>
                <w:color w:val="000000" w:themeColor="text1"/>
                <w:sz w:val="20"/>
                <w:szCs w:val="20"/>
                <w:lang w:val="fr-FR" w:eastAsia="ja-JP"/>
              </w:rPr>
              <w:t xml:space="preserve"> la justification clinique doit être soigneusement documentée </w:t>
            </w:r>
            <w:r w:rsidR="00AC3903">
              <w:rPr>
                <w:rFonts w:asciiTheme="majorHAnsi" w:eastAsia="Times New Roman" w:hAnsiTheme="majorHAnsi" w:cstheme="majorHAnsi"/>
                <w:color w:val="000000" w:themeColor="text1"/>
                <w:sz w:val="20"/>
                <w:szCs w:val="20"/>
                <w:lang w:val="fr-FR" w:eastAsia="ja-JP"/>
              </w:rPr>
              <w:t xml:space="preserve">dans le dossier patient </w:t>
            </w:r>
            <w:r w:rsidRPr="00A46EF4">
              <w:rPr>
                <w:rFonts w:asciiTheme="majorHAnsi" w:eastAsia="Times New Roman" w:hAnsiTheme="majorHAnsi" w:cstheme="majorHAnsi"/>
                <w:color w:val="000000" w:themeColor="text1"/>
                <w:sz w:val="20"/>
                <w:szCs w:val="20"/>
                <w:lang w:val="fr-FR" w:eastAsia="ja-JP"/>
              </w:rPr>
              <w:t xml:space="preserve">et </w:t>
            </w:r>
            <w:r w:rsidR="00B913B7">
              <w:rPr>
                <w:rFonts w:asciiTheme="majorHAnsi" w:eastAsia="Times New Roman" w:hAnsiTheme="majorHAnsi" w:cstheme="majorHAnsi"/>
                <w:color w:val="000000" w:themeColor="text1"/>
                <w:sz w:val="20"/>
                <w:szCs w:val="20"/>
                <w:lang w:val="fr-FR" w:eastAsia="ja-JP"/>
              </w:rPr>
              <w:t>les moyens d’une</w:t>
            </w:r>
            <w:r w:rsidRPr="00A46EF4">
              <w:rPr>
                <w:rFonts w:asciiTheme="majorHAnsi" w:eastAsia="Times New Roman" w:hAnsiTheme="majorHAnsi" w:cstheme="majorHAnsi"/>
                <w:color w:val="000000" w:themeColor="text1"/>
                <w:sz w:val="20"/>
                <w:szCs w:val="20"/>
                <w:lang w:val="fr-FR" w:eastAsia="ja-JP"/>
              </w:rPr>
              <w:t xml:space="preserve"> surveillance</w:t>
            </w:r>
            <w:r w:rsidR="00B913B7">
              <w:rPr>
                <w:rFonts w:asciiTheme="majorHAnsi" w:eastAsia="Times New Roman" w:hAnsiTheme="majorHAnsi" w:cstheme="majorHAnsi"/>
                <w:color w:val="000000" w:themeColor="text1"/>
                <w:sz w:val="20"/>
                <w:szCs w:val="20"/>
                <w:lang w:val="fr-FR" w:eastAsia="ja-JP"/>
              </w:rPr>
              <w:t xml:space="preserve"> régulière</w:t>
            </w:r>
            <w:r w:rsidRPr="00A46EF4">
              <w:rPr>
                <w:rFonts w:asciiTheme="majorHAnsi" w:eastAsia="Times New Roman" w:hAnsiTheme="majorHAnsi" w:cstheme="majorHAnsi"/>
                <w:color w:val="000000" w:themeColor="text1"/>
                <w:sz w:val="20"/>
                <w:szCs w:val="20"/>
                <w:lang w:val="fr-FR" w:eastAsia="ja-JP"/>
              </w:rPr>
              <w:t xml:space="preserve"> doivent être </w:t>
            </w:r>
            <w:r w:rsidR="00B913B7">
              <w:rPr>
                <w:rFonts w:asciiTheme="majorHAnsi" w:eastAsia="Times New Roman" w:hAnsiTheme="majorHAnsi" w:cstheme="majorHAnsi"/>
                <w:color w:val="000000" w:themeColor="text1"/>
                <w:sz w:val="20"/>
                <w:szCs w:val="20"/>
                <w:lang w:val="fr-FR" w:eastAsia="ja-JP"/>
              </w:rPr>
              <w:t>garantis</w:t>
            </w:r>
            <w:r w:rsidRPr="00A46EF4">
              <w:rPr>
                <w:rFonts w:asciiTheme="majorHAnsi" w:eastAsia="Times New Roman" w:hAnsiTheme="majorHAnsi" w:cstheme="majorHAnsi"/>
                <w:color w:val="000000" w:themeColor="text1"/>
                <w:sz w:val="20"/>
                <w:szCs w:val="20"/>
                <w:lang w:val="fr-FR" w:eastAsia="ja-JP"/>
              </w:rPr>
              <w:t>.</w:t>
            </w:r>
          </w:p>
          <w:p w14:paraId="6F1C1E5E" w14:textId="5CC50C16" w:rsidR="000612A4" w:rsidRDefault="000612A4" w:rsidP="000612A4">
            <w:pPr>
              <w:pStyle w:val="Paragraphedeliste"/>
              <w:numPr>
                <w:ilvl w:val="0"/>
                <w:numId w:val="26"/>
              </w:numPr>
              <w:spacing w:before="8" w:after="8" w:line="233" w:lineRule="auto"/>
              <w:rPr>
                <w:rFonts w:asciiTheme="majorHAnsi" w:eastAsia="Times New Roman" w:hAnsiTheme="majorHAnsi" w:cstheme="majorHAnsi"/>
                <w:color w:val="000000" w:themeColor="text1"/>
                <w:sz w:val="20"/>
                <w:szCs w:val="20"/>
                <w:lang w:val="fr-FR" w:eastAsia="ja-JP"/>
              </w:rPr>
            </w:pPr>
            <w:r w:rsidRPr="00A46EF4">
              <w:rPr>
                <w:rFonts w:asciiTheme="majorHAnsi" w:eastAsia="Times New Roman" w:hAnsiTheme="majorHAnsi" w:cstheme="majorHAnsi"/>
                <w:color w:val="000000" w:themeColor="text1"/>
                <w:sz w:val="20"/>
                <w:szCs w:val="20"/>
                <w:lang w:val="fr-FR" w:eastAsia="ja-JP"/>
              </w:rPr>
              <w:t xml:space="preserve">Pour de nombreux patients, il est </w:t>
            </w:r>
            <w:r w:rsidR="0020056F">
              <w:rPr>
                <w:rFonts w:asciiTheme="majorHAnsi" w:eastAsia="Times New Roman" w:hAnsiTheme="majorHAnsi" w:cstheme="majorHAnsi"/>
                <w:color w:val="000000" w:themeColor="text1"/>
                <w:sz w:val="20"/>
                <w:szCs w:val="20"/>
                <w:lang w:val="fr-FR" w:eastAsia="ja-JP"/>
              </w:rPr>
              <w:t>prudent de poursuivre le t</w:t>
            </w:r>
            <w:r w:rsidR="00067083" w:rsidRPr="00A46EF4">
              <w:rPr>
                <w:rFonts w:asciiTheme="majorHAnsi" w:eastAsia="Times New Roman" w:hAnsiTheme="majorHAnsi" w:cstheme="majorHAnsi"/>
                <w:color w:val="000000" w:themeColor="text1"/>
                <w:sz w:val="20"/>
                <w:szCs w:val="20"/>
                <w:lang w:val="fr-FR" w:eastAsia="ja-JP"/>
              </w:rPr>
              <w:t xml:space="preserve">raitement habituel </w:t>
            </w:r>
            <w:r w:rsidRPr="00A46EF4">
              <w:rPr>
                <w:rFonts w:asciiTheme="majorHAnsi" w:eastAsia="Times New Roman" w:hAnsiTheme="majorHAnsi" w:cstheme="majorHAnsi"/>
                <w:color w:val="000000" w:themeColor="text1"/>
                <w:sz w:val="20"/>
                <w:szCs w:val="20"/>
                <w:lang w:val="fr-FR" w:eastAsia="ja-JP"/>
              </w:rPr>
              <w:t xml:space="preserve">jusqu'à ce </w:t>
            </w:r>
            <w:r w:rsidR="0020056F">
              <w:rPr>
                <w:rFonts w:asciiTheme="majorHAnsi" w:eastAsia="Times New Roman" w:hAnsiTheme="majorHAnsi" w:cstheme="majorHAnsi"/>
                <w:color w:val="000000" w:themeColor="text1"/>
                <w:sz w:val="20"/>
                <w:szCs w:val="20"/>
                <w:lang w:val="fr-FR" w:eastAsia="ja-JP"/>
              </w:rPr>
              <w:t xml:space="preserve">qu’une évaluation clinique en face à face puisse être conduite et que le patient puisse participer à la décision </w:t>
            </w:r>
            <w:r w:rsidR="00FE07D2">
              <w:rPr>
                <w:rFonts w:asciiTheme="majorHAnsi" w:eastAsia="Times New Roman" w:hAnsiTheme="majorHAnsi" w:cstheme="majorHAnsi"/>
                <w:color w:val="000000" w:themeColor="text1"/>
                <w:sz w:val="20"/>
                <w:szCs w:val="20"/>
                <w:lang w:val="fr-FR" w:eastAsia="ja-JP"/>
              </w:rPr>
              <w:t xml:space="preserve">avec leurs thérapeutes. </w:t>
            </w:r>
            <w:r w:rsidR="00433ED1">
              <w:rPr>
                <w:rFonts w:asciiTheme="majorHAnsi" w:eastAsia="Times New Roman" w:hAnsiTheme="majorHAnsi" w:cstheme="majorHAnsi"/>
                <w:color w:val="000000" w:themeColor="text1"/>
                <w:sz w:val="20"/>
                <w:szCs w:val="20"/>
                <w:lang w:val="fr-FR" w:eastAsia="ja-JP"/>
              </w:rPr>
              <w:t>L</w:t>
            </w:r>
            <w:r w:rsidR="00946BC3">
              <w:rPr>
                <w:rFonts w:asciiTheme="majorHAnsi" w:eastAsia="Times New Roman" w:hAnsiTheme="majorHAnsi" w:cstheme="majorHAnsi"/>
                <w:color w:val="000000" w:themeColor="text1"/>
                <w:sz w:val="20"/>
                <w:szCs w:val="20"/>
                <w:lang w:val="fr-FR" w:eastAsia="ja-JP"/>
              </w:rPr>
              <w:t xml:space="preserve">es symptômes anxieux, dépressifs ou psychotiques </w:t>
            </w:r>
            <w:r w:rsidR="00FE07D2">
              <w:rPr>
                <w:rFonts w:asciiTheme="majorHAnsi" w:eastAsia="Times New Roman" w:hAnsiTheme="majorHAnsi" w:cstheme="majorHAnsi"/>
                <w:color w:val="000000" w:themeColor="text1"/>
                <w:sz w:val="20"/>
                <w:szCs w:val="20"/>
                <w:lang w:val="fr-FR" w:eastAsia="ja-JP"/>
              </w:rPr>
              <w:t xml:space="preserve">sont susceptibles de </w:t>
            </w:r>
            <w:r w:rsidR="00946BC3">
              <w:rPr>
                <w:rFonts w:asciiTheme="majorHAnsi" w:eastAsia="Times New Roman" w:hAnsiTheme="majorHAnsi" w:cstheme="majorHAnsi"/>
                <w:color w:val="000000" w:themeColor="text1"/>
                <w:sz w:val="20"/>
                <w:szCs w:val="20"/>
                <w:lang w:val="fr-FR" w:eastAsia="ja-JP"/>
              </w:rPr>
              <w:t xml:space="preserve">s’aggraver dans des situations de bouleversements sociaux et de stress intense. Les patients </w:t>
            </w:r>
            <w:r w:rsidR="00FE07D2">
              <w:rPr>
                <w:rFonts w:asciiTheme="majorHAnsi" w:eastAsia="Times New Roman" w:hAnsiTheme="majorHAnsi" w:cstheme="majorHAnsi"/>
                <w:color w:val="000000" w:themeColor="text1"/>
                <w:sz w:val="20"/>
                <w:szCs w:val="20"/>
                <w:lang w:val="fr-FR" w:eastAsia="ja-JP"/>
              </w:rPr>
              <w:t>ayant</w:t>
            </w:r>
            <w:r w:rsidR="00946BC3">
              <w:rPr>
                <w:rFonts w:asciiTheme="majorHAnsi" w:eastAsia="Times New Roman" w:hAnsiTheme="majorHAnsi" w:cstheme="majorHAnsi"/>
                <w:color w:val="000000" w:themeColor="text1"/>
                <w:sz w:val="20"/>
                <w:szCs w:val="20"/>
                <w:lang w:val="fr-FR" w:eastAsia="ja-JP"/>
              </w:rPr>
              <w:t xml:space="preserve"> un trouble de l’humeur ou </w:t>
            </w:r>
            <w:r w:rsidR="00923F18">
              <w:rPr>
                <w:rFonts w:asciiTheme="majorHAnsi" w:eastAsia="Times New Roman" w:hAnsiTheme="majorHAnsi" w:cstheme="majorHAnsi"/>
                <w:color w:val="000000" w:themeColor="text1"/>
                <w:sz w:val="20"/>
                <w:szCs w:val="20"/>
                <w:lang w:val="fr-FR" w:eastAsia="ja-JP"/>
              </w:rPr>
              <w:t>un trouble psychotique</w:t>
            </w:r>
            <w:r w:rsidR="00946BC3">
              <w:rPr>
                <w:rFonts w:asciiTheme="majorHAnsi" w:eastAsia="Times New Roman" w:hAnsiTheme="majorHAnsi" w:cstheme="majorHAnsi"/>
                <w:color w:val="000000" w:themeColor="text1"/>
                <w:sz w:val="20"/>
                <w:szCs w:val="20"/>
                <w:lang w:val="fr-FR" w:eastAsia="ja-JP"/>
              </w:rPr>
              <w:t xml:space="preserve"> </w:t>
            </w:r>
            <w:r w:rsidR="00FE07D2">
              <w:rPr>
                <w:rFonts w:asciiTheme="majorHAnsi" w:eastAsia="Times New Roman" w:hAnsiTheme="majorHAnsi" w:cstheme="majorHAnsi"/>
                <w:color w:val="000000" w:themeColor="text1"/>
                <w:sz w:val="20"/>
                <w:szCs w:val="20"/>
                <w:lang w:val="fr-FR" w:eastAsia="ja-JP"/>
              </w:rPr>
              <w:t xml:space="preserve">sont à risque de </w:t>
            </w:r>
            <w:r w:rsidR="00946BC3">
              <w:rPr>
                <w:rFonts w:asciiTheme="majorHAnsi" w:eastAsia="Times New Roman" w:hAnsiTheme="majorHAnsi" w:cstheme="majorHAnsi"/>
                <w:color w:val="000000" w:themeColor="text1"/>
                <w:sz w:val="20"/>
                <w:szCs w:val="20"/>
                <w:lang w:val="fr-FR" w:eastAsia="ja-JP"/>
              </w:rPr>
              <w:t xml:space="preserve">rechutes. </w:t>
            </w:r>
          </w:p>
          <w:p w14:paraId="4CB6CA1B" w14:textId="4ADF608E" w:rsidR="00946BC3" w:rsidRDefault="00946BC3" w:rsidP="000612A4">
            <w:pPr>
              <w:pStyle w:val="Paragraphedeliste"/>
              <w:numPr>
                <w:ilvl w:val="0"/>
                <w:numId w:val="26"/>
              </w:numPr>
              <w:spacing w:before="8" w:after="8" w:line="233" w:lineRule="auto"/>
              <w:rPr>
                <w:rFonts w:asciiTheme="majorHAnsi" w:eastAsia="Times New Roman" w:hAnsiTheme="majorHAnsi" w:cstheme="majorHAnsi"/>
                <w:color w:val="000000" w:themeColor="text1"/>
                <w:sz w:val="20"/>
                <w:szCs w:val="20"/>
                <w:lang w:val="fr-FR" w:eastAsia="ja-JP"/>
              </w:rPr>
            </w:pPr>
            <w:r>
              <w:rPr>
                <w:rFonts w:asciiTheme="majorHAnsi" w:eastAsia="Times New Roman" w:hAnsiTheme="majorHAnsi" w:cstheme="majorHAnsi"/>
                <w:color w:val="000000" w:themeColor="text1"/>
                <w:sz w:val="20"/>
                <w:szCs w:val="20"/>
                <w:lang w:val="fr-FR" w:eastAsia="ja-JP"/>
              </w:rPr>
              <w:lastRenderedPageBreak/>
              <w:t xml:space="preserve">Continuer les traitements au même dosage jusqu’à ce que le psychiatre traitant soit en mesure de recevoir ces patients pour évaluer la pertinence de modifier les </w:t>
            </w:r>
            <w:r w:rsidR="00FE07D2">
              <w:rPr>
                <w:rFonts w:asciiTheme="majorHAnsi" w:eastAsia="Times New Roman" w:hAnsiTheme="majorHAnsi" w:cstheme="majorHAnsi"/>
                <w:color w:val="000000" w:themeColor="text1"/>
                <w:sz w:val="20"/>
                <w:szCs w:val="20"/>
                <w:lang w:val="fr-FR" w:eastAsia="ja-JP"/>
              </w:rPr>
              <w:t>posologies</w:t>
            </w:r>
            <w:r>
              <w:rPr>
                <w:rFonts w:asciiTheme="majorHAnsi" w:eastAsia="Times New Roman" w:hAnsiTheme="majorHAnsi" w:cstheme="majorHAnsi"/>
                <w:color w:val="000000" w:themeColor="text1"/>
                <w:sz w:val="20"/>
                <w:szCs w:val="20"/>
                <w:lang w:val="fr-FR" w:eastAsia="ja-JP"/>
              </w:rPr>
              <w:t xml:space="preserve">. </w:t>
            </w:r>
          </w:p>
          <w:p w14:paraId="128E1645" w14:textId="77777777" w:rsidR="00923F18" w:rsidRPr="00A46EF4" w:rsidRDefault="00923F18" w:rsidP="000612A4">
            <w:pPr>
              <w:pStyle w:val="Paragraphedeliste"/>
              <w:numPr>
                <w:ilvl w:val="0"/>
                <w:numId w:val="26"/>
              </w:numPr>
              <w:spacing w:before="8" w:after="8" w:line="233" w:lineRule="auto"/>
              <w:rPr>
                <w:rFonts w:asciiTheme="majorHAnsi" w:eastAsia="Times New Roman" w:hAnsiTheme="majorHAnsi" w:cstheme="majorHAnsi"/>
                <w:color w:val="000000" w:themeColor="text1"/>
                <w:sz w:val="20"/>
                <w:szCs w:val="20"/>
                <w:lang w:val="fr-FR" w:eastAsia="ja-JP"/>
              </w:rPr>
            </w:pPr>
          </w:p>
          <w:p w14:paraId="20BEE944" w14:textId="61EE0F3F" w:rsidR="00796C59" w:rsidRPr="00923F18" w:rsidRDefault="00796C59" w:rsidP="00946BC3">
            <w:pPr>
              <w:spacing w:before="8" w:after="8" w:line="233" w:lineRule="auto"/>
              <w:rPr>
                <w:rFonts w:asciiTheme="majorHAnsi" w:eastAsia="Times New Roman" w:hAnsiTheme="majorHAnsi" w:cstheme="majorHAnsi"/>
                <w:color w:val="000000" w:themeColor="text1"/>
                <w:sz w:val="20"/>
                <w:szCs w:val="20"/>
                <w:lang w:val="fr-FR" w:eastAsia="ja-JP"/>
              </w:rPr>
            </w:pPr>
          </w:p>
        </w:tc>
      </w:tr>
      <w:tr w:rsidR="00796C59" w:rsidRPr="00796C59" w14:paraId="6BE16961" w14:textId="77777777" w:rsidTr="00796C59">
        <w:tc>
          <w:tcPr>
            <w:tcW w:w="1148" w:type="pct"/>
            <w:tcBorders>
              <w:top w:val="nil"/>
              <w:left w:val="single" w:sz="48" w:space="0" w:color="E2F2FF"/>
              <w:bottom w:val="nil"/>
              <w:right w:val="nil"/>
            </w:tcBorders>
            <w:shd w:val="clear" w:color="auto" w:fill="auto"/>
          </w:tcPr>
          <w:p w14:paraId="1F59424E" w14:textId="55FF47AB" w:rsidR="00E76886" w:rsidRPr="00B90067" w:rsidRDefault="00946BC3" w:rsidP="00E76886">
            <w:pPr>
              <w:spacing w:before="8" w:after="8"/>
              <w:rPr>
                <w:rFonts w:asciiTheme="majorHAnsi" w:hAnsiTheme="majorHAnsi" w:cstheme="majorHAnsi"/>
                <w:b/>
                <w:bCs/>
                <w:sz w:val="20"/>
                <w:szCs w:val="20"/>
                <w:lang w:val="fr-FR"/>
              </w:rPr>
            </w:pPr>
            <w:r>
              <w:rPr>
                <w:rFonts w:asciiTheme="majorHAnsi" w:hAnsiTheme="majorHAnsi" w:cstheme="majorHAnsi"/>
                <w:b/>
                <w:bCs/>
                <w:sz w:val="20"/>
                <w:szCs w:val="20"/>
                <w:lang w:val="fr-FR"/>
              </w:rPr>
              <w:lastRenderedPageBreak/>
              <w:t>Les autres options thérapeutiques</w:t>
            </w:r>
          </w:p>
          <w:p w14:paraId="7B6F3BB4" w14:textId="41EFFA8F" w:rsidR="00946BC3" w:rsidRDefault="001F654E" w:rsidP="00E76886">
            <w:pPr>
              <w:spacing w:before="8" w:after="8"/>
              <w:rPr>
                <w:rFonts w:asciiTheme="majorHAnsi" w:hAnsiTheme="majorHAnsi" w:cstheme="majorHAnsi"/>
                <w:b/>
                <w:bCs/>
                <w:sz w:val="20"/>
                <w:szCs w:val="20"/>
                <w:lang w:val="fr-FR"/>
              </w:rPr>
            </w:pPr>
            <w:hyperlink r:id="rId12" w:history="1">
              <w:r w:rsidR="00946BC3" w:rsidRPr="00946BC3">
                <w:rPr>
                  <w:rStyle w:val="Lienhypertexte"/>
                  <w:rFonts w:asciiTheme="majorHAnsi" w:hAnsiTheme="majorHAnsi" w:cstheme="majorHAnsi"/>
                  <w:b/>
                  <w:bCs/>
                  <w:sz w:val="20"/>
                  <w:szCs w:val="20"/>
                  <w:lang w:val="fr-FR"/>
                </w:rPr>
                <w:t>[</w:t>
              </w:r>
              <w:proofErr w:type="gramStart"/>
              <w:r w:rsidR="00946BC3" w:rsidRPr="00946BC3">
                <w:rPr>
                  <w:rStyle w:val="Lienhypertexte"/>
                  <w:rFonts w:asciiTheme="majorHAnsi" w:hAnsiTheme="majorHAnsi" w:cstheme="majorHAnsi"/>
                  <w:b/>
                  <w:bCs/>
                  <w:sz w:val="20"/>
                  <w:szCs w:val="20"/>
                  <w:lang w:val="fr-FR"/>
                </w:rPr>
                <w:t>lien</w:t>
              </w:r>
              <w:proofErr w:type="gramEnd"/>
              <w:r w:rsidR="00946BC3" w:rsidRPr="00946BC3">
                <w:rPr>
                  <w:rStyle w:val="Lienhypertexte"/>
                  <w:rFonts w:asciiTheme="majorHAnsi" w:hAnsiTheme="majorHAnsi" w:cstheme="majorHAnsi"/>
                  <w:b/>
                  <w:bCs/>
                  <w:sz w:val="20"/>
                  <w:szCs w:val="20"/>
                  <w:lang w:val="fr-FR"/>
                </w:rPr>
                <w:t xml:space="preserve"> 9]</w:t>
              </w:r>
            </w:hyperlink>
          </w:p>
          <w:p w14:paraId="7E439E85" w14:textId="2D5D35BE" w:rsidR="00E76886" w:rsidRPr="00B303A0" w:rsidRDefault="00B303A0" w:rsidP="00E76886">
            <w:pPr>
              <w:spacing w:before="8" w:after="8"/>
              <w:rPr>
                <w:rStyle w:val="Lienhypertexte"/>
                <w:rFonts w:asciiTheme="majorHAnsi" w:hAnsiTheme="majorHAnsi" w:cstheme="majorHAnsi"/>
                <w:b/>
                <w:bCs/>
                <w:sz w:val="20"/>
                <w:szCs w:val="20"/>
                <w:lang w:val="fr-FR"/>
              </w:rPr>
            </w:pPr>
            <w:r>
              <w:rPr>
                <w:rFonts w:asciiTheme="majorHAnsi" w:hAnsiTheme="majorHAnsi" w:cstheme="majorHAnsi"/>
                <w:b/>
                <w:bCs/>
                <w:sz w:val="20"/>
                <w:szCs w:val="20"/>
                <w:lang w:val="fr-FR"/>
              </w:rPr>
              <w:fldChar w:fldCharType="begin"/>
            </w:r>
            <w:r>
              <w:rPr>
                <w:rFonts w:asciiTheme="majorHAnsi" w:hAnsiTheme="majorHAnsi" w:cstheme="majorHAnsi"/>
                <w:b/>
                <w:bCs/>
                <w:sz w:val="20"/>
                <w:szCs w:val="20"/>
                <w:lang w:val="fr-FR"/>
              </w:rPr>
              <w:instrText xml:space="preserve"> HYPERLINK "https://www.has-sante.fr/upload/docs/application/pdf/2018-11/fm_valproate_trouble_bi_maj_oct2018.pdf" </w:instrText>
            </w:r>
            <w:r>
              <w:rPr>
                <w:rFonts w:asciiTheme="majorHAnsi" w:hAnsiTheme="majorHAnsi" w:cstheme="majorHAnsi"/>
                <w:b/>
                <w:bCs/>
                <w:sz w:val="20"/>
                <w:szCs w:val="20"/>
                <w:lang w:val="fr-FR"/>
              </w:rPr>
              <w:fldChar w:fldCharType="separate"/>
            </w:r>
            <w:r w:rsidR="00946BC3" w:rsidRPr="00B303A0">
              <w:rPr>
                <w:rStyle w:val="Lienhypertexte"/>
                <w:rFonts w:asciiTheme="majorHAnsi" w:hAnsiTheme="majorHAnsi" w:cstheme="majorHAnsi"/>
                <w:b/>
                <w:bCs/>
                <w:sz w:val="20"/>
                <w:szCs w:val="20"/>
                <w:lang w:val="fr-FR"/>
              </w:rPr>
              <w:t>[Lien 1</w:t>
            </w:r>
            <w:r w:rsidR="00946BC3" w:rsidRPr="00923F18">
              <w:rPr>
                <w:rStyle w:val="Lienhypertexte"/>
                <w:lang w:val="fr-FR"/>
              </w:rPr>
              <w:t>0</w:t>
            </w:r>
            <w:r w:rsidR="00946BC3" w:rsidRPr="00B303A0">
              <w:rPr>
                <w:rStyle w:val="Lienhypertexte"/>
                <w:rFonts w:asciiTheme="majorHAnsi" w:hAnsiTheme="majorHAnsi" w:cstheme="majorHAnsi"/>
                <w:b/>
                <w:bCs/>
                <w:sz w:val="20"/>
                <w:szCs w:val="20"/>
                <w:lang w:val="fr-FR"/>
              </w:rPr>
              <w:t>]</w:t>
            </w:r>
          </w:p>
          <w:p w14:paraId="34AC6F74" w14:textId="5FC49C31" w:rsidR="00796C59" w:rsidRPr="00946BC3" w:rsidRDefault="00B303A0" w:rsidP="00946BC3">
            <w:pPr>
              <w:spacing w:before="8" w:after="8"/>
              <w:rPr>
                <w:rFonts w:asciiTheme="majorHAnsi" w:hAnsiTheme="majorHAnsi" w:cstheme="majorHAnsi"/>
                <w:sz w:val="20"/>
                <w:szCs w:val="20"/>
                <w:lang w:val="fr-FR"/>
              </w:rPr>
            </w:pPr>
            <w:r>
              <w:rPr>
                <w:rFonts w:asciiTheme="majorHAnsi" w:hAnsiTheme="majorHAnsi" w:cstheme="majorHAnsi"/>
                <w:b/>
                <w:bCs/>
                <w:sz w:val="20"/>
                <w:szCs w:val="20"/>
                <w:lang w:val="fr-FR"/>
              </w:rPr>
              <w:fldChar w:fldCharType="end"/>
            </w:r>
            <w:hyperlink r:id="rId13" w:history="1">
              <w:r w:rsidRPr="00B303A0">
                <w:rPr>
                  <w:rStyle w:val="Lienhypertexte"/>
                  <w:rFonts w:asciiTheme="majorHAnsi" w:hAnsiTheme="majorHAnsi" w:cstheme="majorHAnsi"/>
                  <w:b/>
                  <w:bCs/>
                  <w:sz w:val="20"/>
                  <w:szCs w:val="20"/>
                  <w:lang w:val="fr-FR"/>
                </w:rPr>
                <w:t>[</w:t>
              </w:r>
              <w:proofErr w:type="gramStart"/>
              <w:r w:rsidRPr="00B303A0">
                <w:rPr>
                  <w:rStyle w:val="Lienhypertexte"/>
                  <w:rFonts w:asciiTheme="majorHAnsi" w:hAnsiTheme="majorHAnsi" w:cstheme="majorHAnsi"/>
                  <w:b/>
                  <w:bCs/>
                  <w:sz w:val="20"/>
                  <w:szCs w:val="20"/>
                  <w:lang w:val="fr-FR"/>
                </w:rPr>
                <w:t>lien</w:t>
              </w:r>
              <w:proofErr w:type="gramEnd"/>
              <w:r w:rsidRPr="00B303A0">
                <w:rPr>
                  <w:rStyle w:val="Lienhypertexte"/>
                  <w:rFonts w:asciiTheme="majorHAnsi" w:hAnsiTheme="majorHAnsi" w:cstheme="majorHAnsi"/>
                  <w:b/>
                  <w:bCs/>
                  <w:sz w:val="20"/>
                  <w:szCs w:val="20"/>
                  <w:lang w:val="fr-FR"/>
                </w:rPr>
                <w:t xml:space="preserve"> 11]</w:t>
              </w:r>
            </w:hyperlink>
          </w:p>
        </w:tc>
        <w:tc>
          <w:tcPr>
            <w:tcW w:w="3852" w:type="pct"/>
            <w:tcBorders>
              <w:top w:val="nil"/>
              <w:left w:val="nil"/>
              <w:bottom w:val="nil"/>
              <w:right w:val="single" w:sz="48" w:space="0" w:color="E2F2FF"/>
            </w:tcBorders>
            <w:shd w:val="clear" w:color="auto" w:fill="auto"/>
          </w:tcPr>
          <w:p w14:paraId="580DBCE3" w14:textId="0E6D7E17" w:rsidR="00E76886" w:rsidRPr="00A46EF4" w:rsidRDefault="00E76886" w:rsidP="003E660E">
            <w:pPr>
              <w:spacing w:before="8" w:after="8" w:line="233" w:lineRule="auto"/>
              <w:rPr>
                <w:rFonts w:asciiTheme="majorHAnsi" w:eastAsia="Times New Roman" w:hAnsiTheme="majorHAnsi" w:cstheme="majorHAnsi"/>
                <w:color w:val="000000" w:themeColor="text1"/>
                <w:sz w:val="20"/>
                <w:szCs w:val="20"/>
                <w:lang w:val="fr-FR" w:eastAsia="ja-JP"/>
              </w:rPr>
            </w:pPr>
            <w:r w:rsidRPr="00A46EF4">
              <w:rPr>
                <w:rFonts w:asciiTheme="majorHAnsi" w:eastAsia="Times New Roman" w:hAnsiTheme="majorHAnsi" w:cstheme="majorHAnsi"/>
                <w:color w:val="000000" w:themeColor="text1"/>
                <w:sz w:val="20"/>
                <w:szCs w:val="20"/>
                <w:lang w:val="fr-FR" w:eastAsia="ja-JP"/>
              </w:rPr>
              <w:t>La décision d'utiliser du lithium doit être basée sur le diagnostic psychiatrique et les alternatives de traitement</w:t>
            </w:r>
            <w:r w:rsidR="00FE07D2">
              <w:rPr>
                <w:rFonts w:asciiTheme="majorHAnsi" w:eastAsia="Times New Roman" w:hAnsiTheme="majorHAnsi" w:cstheme="majorHAnsi"/>
                <w:color w:val="000000" w:themeColor="text1"/>
                <w:sz w:val="20"/>
                <w:szCs w:val="20"/>
                <w:lang w:val="fr-FR" w:eastAsia="ja-JP"/>
              </w:rPr>
              <w:t>s</w:t>
            </w:r>
            <w:r w:rsidRPr="00A46EF4">
              <w:rPr>
                <w:rFonts w:asciiTheme="majorHAnsi" w:eastAsia="Times New Roman" w:hAnsiTheme="majorHAnsi" w:cstheme="majorHAnsi"/>
                <w:color w:val="000000" w:themeColor="text1"/>
                <w:sz w:val="20"/>
                <w:szCs w:val="20"/>
                <w:lang w:val="fr-FR" w:eastAsia="ja-JP"/>
              </w:rPr>
              <w:t xml:space="preserve"> disponibles, en tenant compte des restrictions de prise en charge que la </w:t>
            </w:r>
            <w:r w:rsidR="00A46EF4" w:rsidRPr="00A46EF4">
              <w:rPr>
                <w:rFonts w:asciiTheme="majorHAnsi" w:eastAsia="Times New Roman" w:hAnsiTheme="majorHAnsi" w:cstheme="majorHAnsi"/>
                <w:color w:val="000000" w:themeColor="text1"/>
                <w:sz w:val="20"/>
                <w:szCs w:val="20"/>
                <w:lang w:val="fr-FR" w:eastAsia="ja-JP"/>
              </w:rPr>
              <w:t>période de</w:t>
            </w:r>
            <w:r w:rsidRPr="00A46EF4">
              <w:rPr>
                <w:rFonts w:asciiTheme="majorHAnsi" w:eastAsia="Times New Roman" w:hAnsiTheme="majorHAnsi" w:cstheme="majorHAnsi"/>
                <w:color w:val="000000" w:themeColor="text1"/>
                <w:sz w:val="20"/>
                <w:szCs w:val="20"/>
                <w:lang w:val="fr-FR" w:eastAsia="ja-JP"/>
              </w:rPr>
              <w:t xml:space="preserve"> pandémie peut impliquer</w:t>
            </w:r>
            <w:r w:rsidR="00374AD2" w:rsidRPr="00A46EF4">
              <w:rPr>
                <w:rFonts w:asciiTheme="majorHAnsi" w:eastAsia="Times New Roman" w:hAnsiTheme="majorHAnsi" w:cstheme="majorHAnsi"/>
                <w:color w:val="000000" w:themeColor="text1"/>
                <w:sz w:val="20"/>
                <w:szCs w:val="20"/>
                <w:lang w:val="fr-FR" w:eastAsia="ja-JP"/>
              </w:rPr>
              <w:t>,</w:t>
            </w:r>
            <w:r w:rsidRPr="00A46EF4">
              <w:rPr>
                <w:rFonts w:asciiTheme="majorHAnsi" w:eastAsia="Times New Roman" w:hAnsiTheme="majorHAnsi" w:cstheme="majorHAnsi"/>
                <w:color w:val="000000" w:themeColor="text1"/>
                <w:sz w:val="20"/>
                <w:szCs w:val="20"/>
                <w:lang w:val="fr-FR" w:eastAsia="ja-JP"/>
              </w:rPr>
              <w:t xml:space="preserve"> notamment pour </w:t>
            </w:r>
            <w:r w:rsidR="00946BC3">
              <w:rPr>
                <w:rFonts w:asciiTheme="majorHAnsi" w:eastAsia="Times New Roman" w:hAnsiTheme="majorHAnsi" w:cstheme="majorHAnsi"/>
                <w:color w:val="000000" w:themeColor="text1"/>
                <w:sz w:val="20"/>
                <w:szCs w:val="20"/>
                <w:lang w:val="fr-FR" w:eastAsia="ja-JP"/>
              </w:rPr>
              <w:t>le suivi biologique</w:t>
            </w:r>
            <w:r w:rsidRPr="00A46EF4">
              <w:rPr>
                <w:rFonts w:asciiTheme="majorHAnsi" w:eastAsia="Times New Roman" w:hAnsiTheme="majorHAnsi" w:cstheme="majorHAnsi"/>
                <w:color w:val="000000" w:themeColor="text1"/>
                <w:sz w:val="20"/>
                <w:szCs w:val="20"/>
                <w:lang w:val="fr-FR" w:eastAsia="ja-JP"/>
              </w:rPr>
              <w:t xml:space="preserve"> et </w:t>
            </w:r>
            <w:r w:rsidR="00946BC3" w:rsidRPr="00A46EF4">
              <w:rPr>
                <w:rFonts w:asciiTheme="majorHAnsi" w:eastAsia="Times New Roman" w:hAnsiTheme="majorHAnsi" w:cstheme="majorHAnsi"/>
                <w:color w:val="000000" w:themeColor="text1"/>
                <w:sz w:val="20"/>
                <w:szCs w:val="20"/>
                <w:lang w:val="fr-FR" w:eastAsia="ja-JP"/>
              </w:rPr>
              <w:t>les consultations</w:t>
            </w:r>
            <w:r w:rsidRPr="00A46EF4">
              <w:rPr>
                <w:rFonts w:asciiTheme="majorHAnsi" w:eastAsia="Times New Roman" w:hAnsiTheme="majorHAnsi" w:cstheme="majorHAnsi"/>
                <w:color w:val="000000" w:themeColor="text1"/>
                <w:sz w:val="20"/>
                <w:szCs w:val="20"/>
                <w:lang w:val="fr-FR" w:eastAsia="ja-JP"/>
              </w:rPr>
              <w:t xml:space="preserve"> en face à face.</w:t>
            </w:r>
          </w:p>
          <w:p w14:paraId="7E9E765A" w14:textId="6C6ED610" w:rsidR="00E76886" w:rsidRPr="00A46EF4" w:rsidRDefault="00946BC3" w:rsidP="003E660E">
            <w:pPr>
              <w:spacing w:before="8" w:after="8" w:line="233" w:lineRule="auto"/>
              <w:rPr>
                <w:rFonts w:asciiTheme="majorHAnsi" w:eastAsia="Times New Roman" w:hAnsiTheme="majorHAnsi" w:cstheme="majorHAnsi"/>
                <w:color w:val="000000" w:themeColor="text1"/>
                <w:sz w:val="20"/>
                <w:szCs w:val="20"/>
                <w:lang w:val="fr-FR" w:eastAsia="ja-JP"/>
              </w:rPr>
            </w:pPr>
            <w:r>
              <w:rPr>
                <w:rFonts w:asciiTheme="majorHAnsi" w:eastAsia="Times New Roman" w:hAnsiTheme="majorHAnsi" w:cstheme="majorHAnsi"/>
                <w:color w:val="000000" w:themeColor="text1"/>
                <w:sz w:val="20"/>
                <w:szCs w:val="20"/>
                <w:lang w:val="fr-FR" w:eastAsia="ja-JP"/>
              </w:rPr>
              <w:t xml:space="preserve">En France, le </w:t>
            </w:r>
            <w:proofErr w:type="spellStart"/>
            <w:r>
              <w:rPr>
                <w:rFonts w:asciiTheme="majorHAnsi" w:eastAsia="Times New Roman" w:hAnsiTheme="majorHAnsi" w:cstheme="majorHAnsi"/>
                <w:color w:val="000000" w:themeColor="text1"/>
                <w:sz w:val="20"/>
                <w:szCs w:val="20"/>
                <w:lang w:val="fr-FR" w:eastAsia="ja-JP"/>
              </w:rPr>
              <w:t>divalproate</w:t>
            </w:r>
            <w:proofErr w:type="spellEnd"/>
            <w:r>
              <w:rPr>
                <w:rFonts w:asciiTheme="majorHAnsi" w:eastAsia="Times New Roman" w:hAnsiTheme="majorHAnsi" w:cstheme="majorHAnsi"/>
                <w:color w:val="000000" w:themeColor="text1"/>
                <w:sz w:val="20"/>
                <w:szCs w:val="20"/>
                <w:lang w:val="fr-FR" w:eastAsia="ja-JP"/>
              </w:rPr>
              <w:t xml:space="preserve"> de sodium ne peut être prescrit chez les femmes en âge de procréer que sous</w:t>
            </w:r>
            <w:r w:rsidR="00B303A0">
              <w:rPr>
                <w:rFonts w:asciiTheme="majorHAnsi" w:eastAsia="Times New Roman" w:hAnsiTheme="majorHAnsi" w:cstheme="majorHAnsi"/>
                <w:color w:val="000000" w:themeColor="text1"/>
                <w:sz w:val="20"/>
                <w:szCs w:val="20"/>
                <w:lang w:val="fr-FR" w:eastAsia="ja-JP"/>
              </w:rPr>
              <w:t xml:space="preserve"> certaines conditions (cf</w:t>
            </w:r>
            <w:r w:rsidR="00923F18">
              <w:rPr>
                <w:rFonts w:asciiTheme="majorHAnsi" w:eastAsia="Times New Roman" w:hAnsiTheme="majorHAnsi" w:cstheme="majorHAnsi"/>
                <w:color w:val="000000" w:themeColor="text1"/>
                <w:sz w:val="20"/>
                <w:szCs w:val="20"/>
                <w:lang w:val="fr-FR" w:eastAsia="ja-JP"/>
              </w:rPr>
              <w:t>.</w:t>
            </w:r>
            <w:r w:rsidR="00B303A0">
              <w:rPr>
                <w:rFonts w:asciiTheme="majorHAnsi" w:eastAsia="Times New Roman" w:hAnsiTheme="majorHAnsi" w:cstheme="majorHAnsi"/>
                <w:color w:val="000000" w:themeColor="text1"/>
                <w:sz w:val="20"/>
                <w:szCs w:val="20"/>
                <w:lang w:val="fr-FR" w:eastAsia="ja-JP"/>
              </w:rPr>
              <w:t xml:space="preserve"> lien 9 et 10)</w:t>
            </w:r>
          </w:p>
          <w:p w14:paraId="30EA1C95" w14:textId="77777777" w:rsidR="00E76886" w:rsidRPr="00A46EF4" w:rsidRDefault="00E76886" w:rsidP="00E76886">
            <w:pPr>
              <w:spacing w:before="8" w:after="8" w:line="233" w:lineRule="auto"/>
              <w:rPr>
                <w:rFonts w:asciiTheme="majorHAnsi" w:eastAsia="Times New Roman" w:hAnsiTheme="majorHAnsi" w:cstheme="majorHAnsi"/>
                <w:color w:val="000000" w:themeColor="text1"/>
                <w:sz w:val="20"/>
                <w:szCs w:val="20"/>
                <w:lang w:val="fr-FR" w:eastAsia="ja-JP"/>
              </w:rPr>
            </w:pPr>
          </w:p>
          <w:p w14:paraId="7F09C701" w14:textId="32D98CA6" w:rsidR="00946BC3" w:rsidRPr="00946BC3" w:rsidRDefault="00946BC3" w:rsidP="005A61EC">
            <w:pPr>
              <w:spacing w:before="8" w:after="8" w:line="233" w:lineRule="auto"/>
              <w:rPr>
                <w:lang w:val="fr-FR"/>
              </w:rPr>
            </w:pPr>
            <w:r>
              <w:rPr>
                <w:rFonts w:asciiTheme="majorHAnsi" w:eastAsia="Times New Roman" w:hAnsiTheme="majorHAnsi" w:cstheme="majorHAnsi"/>
                <w:color w:val="000000" w:themeColor="text1"/>
                <w:sz w:val="20"/>
                <w:szCs w:val="20"/>
                <w:lang w:val="fr-FR" w:eastAsia="ja-JP"/>
              </w:rPr>
              <w:t>Des recommandations internationales peuvent guider la décision thérapeutique :</w:t>
            </w:r>
          </w:p>
          <w:p w14:paraId="5E040FC1" w14:textId="6262B013" w:rsidR="005A61EC" w:rsidRPr="00796C59" w:rsidRDefault="001F654E" w:rsidP="005A61EC">
            <w:pPr>
              <w:spacing w:before="8" w:after="8" w:line="233" w:lineRule="auto"/>
              <w:rPr>
                <w:rFonts w:asciiTheme="majorHAnsi" w:eastAsia="Times New Roman" w:hAnsiTheme="majorHAnsi" w:cstheme="majorHAnsi"/>
                <w:color w:val="000000" w:themeColor="text1"/>
                <w:sz w:val="20"/>
                <w:szCs w:val="20"/>
                <w:lang w:eastAsia="ja-JP"/>
              </w:rPr>
            </w:pPr>
            <w:hyperlink r:id="rId14" w:history="1">
              <w:r w:rsidR="005A61EC" w:rsidRPr="00796C59">
                <w:rPr>
                  <w:rStyle w:val="Lienhypertexte"/>
                  <w:rFonts w:asciiTheme="majorHAnsi" w:eastAsia="Times New Roman" w:hAnsiTheme="majorHAnsi" w:cstheme="majorHAnsi"/>
                  <w:sz w:val="20"/>
                  <w:szCs w:val="20"/>
                  <w:lang w:eastAsia="ja-JP"/>
                </w:rPr>
                <w:t>Lithium in the prevention of suicide in mood disorders: updated systematic review and meta-analysis</w:t>
              </w:r>
            </w:hyperlink>
            <w:r w:rsidR="005A61EC">
              <w:rPr>
                <w:rFonts w:asciiTheme="majorHAnsi" w:eastAsia="Times New Roman" w:hAnsiTheme="majorHAnsi" w:cstheme="majorHAnsi"/>
                <w:color w:val="000000" w:themeColor="text1"/>
                <w:sz w:val="20"/>
                <w:szCs w:val="20"/>
                <w:lang w:eastAsia="ja-JP"/>
              </w:rPr>
              <w:t>.</w:t>
            </w:r>
          </w:p>
          <w:p w14:paraId="5CDD4B88" w14:textId="77777777" w:rsidR="005A61EC" w:rsidRDefault="001F654E" w:rsidP="005A61EC">
            <w:pPr>
              <w:spacing w:before="8" w:after="8" w:line="233" w:lineRule="auto"/>
              <w:rPr>
                <w:rFonts w:asciiTheme="majorHAnsi" w:eastAsia="Times New Roman" w:hAnsiTheme="majorHAnsi" w:cstheme="majorHAnsi"/>
                <w:color w:val="000000" w:themeColor="text1"/>
                <w:sz w:val="20"/>
                <w:szCs w:val="20"/>
                <w:lang w:eastAsia="ja-JP"/>
              </w:rPr>
            </w:pPr>
            <w:hyperlink r:id="rId15" w:history="1">
              <w:r w:rsidR="005A61EC" w:rsidRPr="00796C59">
                <w:rPr>
                  <w:rStyle w:val="Lienhypertexte"/>
                  <w:rFonts w:asciiTheme="majorHAnsi" w:eastAsia="Times New Roman" w:hAnsiTheme="majorHAnsi" w:cstheme="majorHAnsi"/>
                  <w:sz w:val="20"/>
                  <w:szCs w:val="20"/>
                  <w:lang w:eastAsia="ja-JP"/>
                </w:rPr>
                <w:t>Lithium and suicide in mood disorders: Updated meta‐review of the scientific literature</w:t>
              </w:r>
            </w:hyperlink>
            <w:r w:rsidR="005A61EC">
              <w:rPr>
                <w:rFonts w:asciiTheme="majorHAnsi" w:eastAsia="Times New Roman" w:hAnsiTheme="majorHAnsi" w:cstheme="majorHAnsi"/>
                <w:color w:val="000000" w:themeColor="text1"/>
                <w:sz w:val="20"/>
                <w:szCs w:val="20"/>
                <w:lang w:eastAsia="ja-JP"/>
              </w:rPr>
              <w:t>.</w:t>
            </w:r>
          </w:p>
          <w:p w14:paraId="30A79A3E" w14:textId="18E5AFB2" w:rsidR="005A61EC" w:rsidRDefault="001F654E" w:rsidP="005A61EC">
            <w:pPr>
              <w:spacing w:before="8" w:after="8" w:line="233" w:lineRule="auto"/>
              <w:rPr>
                <w:rFonts w:asciiTheme="majorHAnsi" w:eastAsia="Times New Roman" w:hAnsiTheme="majorHAnsi" w:cstheme="majorHAnsi"/>
                <w:color w:val="000000" w:themeColor="text1"/>
                <w:sz w:val="20"/>
                <w:szCs w:val="20"/>
                <w:lang w:eastAsia="ja-JP"/>
              </w:rPr>
            </w:pPr>
            <w:hyperlink r:id="rId16" w:history="1">
              <w:r w:rsidR="005A61EC" w:rsidRPr="004D380F">
                <w:rPr>
                  <w:rStyle w:val="Lienhypertexte"/>
                  <w:rFonts w:asciiTheme="majorHAnsi" w:eastAsia="Times New Roman" w:hAnsiTheme="majorHAnsi" w:cstheme="majorHAnsi"/>
                  <w:sz w:val="20"/>
                  <w:szCs w:val="20"/>
                  <w:lang w:eastAsia="ja-JP"/>
                </w:rPr>
                <w:t>Comparative efficacy, acceptability, and tolerability of augmentation agents in treatment-resistant depression: systematic review and network meta-analysis</w:t>
              </w:r>
            </w:hyperlink>
            <w:r w:rsidR="005A61EC">
              <w:rPr>
                <w:rFonts w:asciiTheme="majorHAnsi" w:eastAsia="Times New Roman" w:hAnsiTheme="majorHAnsi" w:cstheme="majorHAnsi"/>
                <w:color w:val="000000" w:themeColor="text1"/>
                <w:sz w:val="20"/>
                <w:szCs w:val="20"/>
                <w:lang w:eastAsia="ja-JP"/>
              </w:rPr>
              <w:t>.</w:t>
            </w:r>
          </w:p>
          <w:p w14:paraId="01D8AA5B" w14:textId="77777777" w:rsidR="005A61EC" w:rsidRPr="00796C59" w:rsidRDefault="001F654E" w:rsidP="005A61EC">
            <w:pPr>
              <w:spacing w:before="8" w:after="8" w:line="233" w:lineRule="auto"/>
              <w:rPr>
                <w:rFonts w:asciiTheme="majorHAnsi" w:eastAsia="Times New Roman" w:hAnsiTheme="majorHAnsi" w:cstheme="majorHAnsi"/>
                <w:color w:val="000000" w:themeColor="text1"/>
                <w:sz w:val="20"/>
                <w:szCs w:val="20"/>
                <w:lang w:eastAsia="ja-JP"/>
              </w:rPr>
            </w:pPr>
            <w:hyperlink r:id="rId17" w:history="1">
              <w:r w:rsidR="005A61EC" w:rsidRPr="00796C59">
                <w:rPr>
                  <w:rStyle w:val="Lienhypertexte"/>
                  <w:rFonts w:asciiTheme="majorHAnsi" w:eastAsia="Times New Roman" w:hAnsiTheme="majorHAnsi" w:cstheme="majorHAnsi"/>
                  <w:sz w:val="20"/>
                  <w:szCs w:val="20"/>
                  <w:lang w:eastAsia="ja-JP"/>
                </w:rPr>
                <w:t>NICE clinical guideline 185 on bipolar disorder: assessment and management</w:t>
              </w:r>
            </w:hyperlink>
            <w:r w:rsidR="005A61EC">
              <w:rPr>
                <w:rFonts w:asciiTheme="majorHAnsi" w:eastAsia="Times New Roman" w:hAnsiTheme="majorHAnsi" w:cstheme="majorHAnsi"/>
                <w:color w:val="000000" w:themeColor="text1"/>
                <w:sz w:val="20"/>
                <w:szCs w:val="20"/>
                <w:lang w:eastAsia="ja-JP"/>
              </w:rPr>
              <w:t>.</w:t>
            </w:r>
            <w:r w:rsidR="005A61EC" w:rsidRPr="00796C59">
              <w:rPr>
                <w:rFonts w:asciiTheme="majorHAnsi" w:eastAsia="Times New Roman" w:hAnsiTheme="majorHAnsi" w:cstheme="majorHAnsi"/>
                <w:color w:val="000000" w:themeColor="text1"/>
                <w:sz w:val="20"/>
                <w:szCs w:val="20"/>
                <w:lang w:eastAsia="ja-JP"/>
              </w:rPr>
              <w:t xml:space="preserve"> </w:t>
            </w:r>
          </w:p>
          <w:p w14:paraId="700C13BC" w14:textId="77777777" w:rsidR="005A61EC" w:rsidRPr="00796C59" w:rsidRDefault="001F654E" w:rsidP="005A61EC">
            <w:pPr>
              <w:spacing w:before="8" w:after="8" w:line="233" w:lineRule="auto"/>
              <w:rPr>
                <w:rFonts w:asciiTheme="majorHAnsi" w:eastAsia="Times New Roman" w:hAnsiTheme="majorHAnsi" w:cstheme="majorHAnsi"/>
                <w:color w:val="000000" w:themeColor="text1"/>
                <w:sz w:val="20"/>
                <w:szCs w:val="20"/>
                <w:lang w:eastAsia="ja-JP"/>
              </w:rPr>
            </w:pPr>
            <w:hyperlink r:id="rId18" w:history="1">
              <w:r w:rsidR="005A61EC" w:rsidRPr="00796C59">
                <w:rPr>
                  <w:rStyle w:val="Lienhypertexte"/>
                  <w:rFonts w:asciiTheme="majorHAnsi" w:eastAsia="Times New Roman" w:hAnsiTheme="majorHAnsi" w:cstheme="majorHAnsi"/>
                  <w:sz w:val="20"/>
                  <w:szCs w:val="20"/>
                  <w:lang w:eastAsia="ja-JP"/>
                </w:rPr>
                <w:t>BAP guidelines on bipolar disorder</w:t>
              </w:r>
            </w:hyperlink>
            <w:r w:rsidR="005A61EC">
              <w:rPr>
                <w:rFonts w:asciiTheme="majorHAnsi" w:eastAsia="Times New Roman" w:hAnsiTheme="majorHAnsi" w:cstheme="majorHAnsi"/>
                <w:color w:val="000000" w:themeColor="text1"/>
                <w:sz w:val="20"/>
                <w:szCs w:val="20"/>
                <w:lang w:eastAsia="ja-JP"/>
              </w:rPr>
              <w:t>.</w:t>
            </w:r>
          </w:p>
          <w:p w14:paraId="1A5E19B9" w14:textId="77777777" w:rsidR="005A61EC" w:rsidRPr="00796C59" w:rsidRDefault="001F654E" w:rsidP="005A61EC">
            <w:pPr>
              <w:spacing w:before="8" w:after="8" w:line="233" w:lineRule="auto"/>
              <w:rPr>
                <w:rFonts w:asciiTheme="majorHAnsi" w:eastAsia="Times New Roman" w:hAnsiTheme="majorHAnsi" w:cstheme="majorHAnsi"/>
                <w:color w:val="000000" w:themeColor="text1"/>
                <w:sz w:val="20"/>
                <w:szCs w:val="20"/>
                <w:lang w:eastAsia="ja-JP"/>
              </w:rPr>
            </w:pPr>
            <w:hyperlink r:id="rId19" w:history="1">
              <w:r w:rsidR="005A61EC" w:rsidRPr="00796C59">
                <w:rPr>
                  <w:rStyle w:val="Lienhypertexte"/>
                  <w:rFonts w:asciiTheme="majorHAnsi" w:eastAsia="Times New Roman" w:hAnsiTheme="majorHAnsi" w:cstheme="majorHAnsi"/>
                  <w:sz w:val="20"/>
                  <w:szCs w:val="20"/>
                  <w:lang w:eastAsia="ja-JP"/>
                </w:rPr>
                <w:t>BAP guidelines on antidepressants</w:t>
              </w:r>
            </w:hyperlink>
            <w:r w:rsidR="005A61EC">
              <w:rPr>
                <w:rFonts w:asciiTheme="majorHAnsi" w:eastAsia="Times New Roman" w:hAnsiTheme="majorHAnsi" w:cstheme="majorHAnsi"/>
                <w:color w:val="000000" w:themeColor="text1"/>
                <w:sz w:val="20"/>
                <w:szCs w:val="20"/>
                <w:lang w:eastAsia="ja-JP"/>
              </w:rPr>
              <w:t>.</w:t>
            </w:r>
          </w:p>
          <w:p w14:paraId="58185D41" w14:textId="5963956C" w:rsidR="00796C59" w:rsidRDefault="00796C59" w:rsidP="003E660E">
            <w:pPr>
              <w:spacing w:before="8" w:after="8" w:line="233" w:lineRule="auto"/>
              <w:rPr>
                <w:rFonts w:asciiTheme="majorHAnsi" w:eastAsia="Times New Roman" w:hAnsiTheme="majorHAnsi" w:cstheme="majorHAnsi"/>
                <w:color w:val="000000" w:themeColor="text1"/>
                <w:sz w:val="20"/>
                <w:szCs w:val="20"/>
                <w:lang w:eastAsia="ja-JP"/>
              </w:rPr>
            </w:pPr>
          </w:p>
          <w:p w14:paraId="563C8C5B" w14:textId="77777777" w:rsidR="00796C59" w:rsidRPr="00796C59" w:rsidRDefault="00796C59" w:rsidP="003E660E">
            <w:pPr>
              <w:spacing w:before="8" w:after="8" w:line="233" w:lineRule="auto"/>
              <w:rPr>
                <w:rFonts w:asciiTheme="majorHAnsi" w:eastAsia="Times New Roman" w:hAnsiTheme="majorHAnsi" w:cstheme="majorHAnsi"/>
                <w:b/>
                <w:bCs/>
                <w:color w:val="000000" w:themeColor="text1"/>
                <w:sz w:val="20"/>
                <w:szCs w:val="20"/>
                <w:lang w:eastAsia="ja-JP"/>
              </w:rPr>
            </w:pPr>
          </w:p>
        </w:tc>
      </w:tr>
      <w:tr w:rsidR="00B04713" w:rsidRPr="00EE2623" w14:paraId="0AC97E27" w14:textId="77777777" w:rsidTr="00D54077">
        <w:tc>
          <w:tcPr>
            <w:tcW w:w="5000" w:type="pct"/>
            <w:gridSpan w:val="2"/>
            <w:tcBorders>
              <w:top w:val="nil"/>
              <w:left w:val="single" w:sz="48" w:space="0" w:color="E2F2FF"/>
              <w:bottom w:val="nil"/>
              <w:right w:val="single" w:sz="48" w:space="0" w:color="E2F2FF"/>
            </w:tcBorders>
            <w:shd w:val="clear" w:color="auto" w:fill="002147"/>
          </w:tcPr>
          <w:p w14:paraId="619501ED" w14:textId="614D33F1" w:rsidR="00C134AF" w:rsidRPr="00BD6F31" w:rsidRDefault="00B303A0" w:rsidP="003E660E">
            <w:pPr>
              <w:spacing w:before="8" w:after="8" w:line="233" w:lineRule="auto"/>
              <w:rPr>
                <w:rFonts w:asciiTheme="majorHAnsi" w:eastAsia="Times New Roman" w:hAnsiTheme="majorHAnsi" w:cstheme="majorHAnsi"/>
                <w:b/>
                <w:bCs/>
                <w:color w:val="000000" w:themeColor="text1"/>
                <w:sz w:val="20"/>
                <w:szCs w:val="20"/>
                <w:lang w:val="fr-FR" w:eastAsia="ja-JP"/>
              </w:rPr>
            </w:pPr>
            <w:r>
              <w:rPr>
                <w:rFonts w:asciiTheme="majorHAnsi" w:hAnsiTheme="majorHAnsi" w:cstheme="majorHAnsi"/>
                <w:b/>
                <w:bCs/>
                <w:sz w:val="20"/>
                <w:szCs w:val="20"/>
                <w:lang w:val="fr-FR"/>
              </w:rPr>
              <w:t>Surveiller et interpréter l</w:t>
            </w:r>
            <w:r w:rsidR="00A46EF4" w:rsidRPr="00BD6F31">
              <w:rPr>
                <w:rFonts w:asciiTheme="majorHAnsi" w:hAnsiTheme="majorHAnsi" w:cstheme="majorHAnsi"/>
                <w:b/>
                <w:bCs/>
                <w:sz w:val="20"/>
                <w:szCs w:val="20"/>
                <w:lang w:val="fr-FR"/>
              </w:rPr>
              <w:t>a lithémie en présence d</w:t>
            </w:r>
            <w:r w:rsidR="00BD6F31" w:rsidRPr="00BD6F31">
              <w:rPr>
                <w:rFonts w:asciiTheme="majorHAnsi" w:hAnsiTheme="majorHAnsi" w:cstheme="majorHAnsi"/>
                <w:b/>
                <w:bCs/>
                <w:sz w:val="20"/>
                <w:szCs w:val="20"/>
                <w:lang w:val="fr-FR"/>
              </w:rPr>
              <w:t xml:space="preserve">’une </w:t>
            </w:r>
            <w:r>
              <w:rPr>
                <w:rFonts w:asciiTheme="majorHAnsi" w:hAnsiTheme="majorHAnsi" w:cstheme="majorHAnsi"/>
                <w:b/>
                <w:bCs/>
                <w:sz w:val="20"/>
                <w:szCs w:val="20"/>
                <w:lang w:val="fr-FR"/>
              </w:rPr>
              <w:t xml:space="preserve">potentielle </w:t>
            </w:r>
            <w:r w:rsidR="00BD6F31" w:rsidRPr="00BD6F31">
              <w:rPr>
                <w:rFonts w:asciiTheme="majorHAnsi" w:hAnsiTheme="majorHAnsi" w:cstheme="majorHAnsi"/>
                <w:b/>
                <w:bCs/>
                <w:sz w:val="20"/>
                <w:szCs w:val="20"/>
                <w:lang w:val="fr-FR"/>
              </w:rPr>
              <w:t xml:space="preserve">infection </w:t>
            </w:r>
            <w:r w:rsidR="00A46EF4" w:rsidRPr="00BD6F31">
              <w:rPr>
                <w:rFonts w:asciiTheme="majorHAnsi" w:hAnsiTheme="majorHAnsi" w:cstheme="majorHAnsi"/>
                <w:b/>
                <w:bCs/>
                <w:sz w:val="20"/>
                <w:szCs w:val="20"/>
                <w:lang w:val="fr-FR"/>
              </w:rPr>
              <w:t xml:space="preserve">COVID-19 </w:t>
            </w:r>
          </w:p>
        </w:tc>
      </w:tr>
      <w:tr w:rsidR="00796C59" w:rsidRPr="00EE2623" w14:paraId="43FA7B0A" w14:textId="77777777" w:rsidTr="00796C59">
        <w:tc>
          <w:tcPr>
            <w:tcW w:w="1148" w:type="pct"/>
            <w:tcBorders>
              <w:top w:val="nil"/>
              <w:left w:val="single" w:sz="48" w:space="0" w:color="E2F2FF"/>
              <w:bottom w:val="nil"/>
              <w:right w:val="nil"/>
            </w:tcBorders>
            <w:shd w:val="clear" w:color="auto" w:fill="E0F2FF"/>
          </w:tcPr>
          <w:p w14:paraId="088ADA58" w14:textId="7C0E206A" w:rsidR="007467A0" w:rsidRPr="00B90067" w:rsidRDefault="00B303A0" w:rsidP="00796C59">
            <w:pPr>
              <w:spacing w:before="8" w:after="8"/>
              <w:rPr>
                <w:rFonts w:asciiTheme="majorHAnsi" w:hAnsiTheme="majorHAnsi" w:cstheme="majorHAnsi"/>
                <w:b/>
                <w:bCs/>
                <w:sz w:val="20"/>
                <w:szCs w:val="20"/>
                <w:lang w:val="fr-FR"/>
              </w:rPr>
            </w:pPr>
            <w:r>
              <w:rPr>
                <w:rFonts w:asciiTheme="majorHAnsi" w:hAnsiTheme="majorHAnsi" w:cstheme="majorHAnsi"/>
                <w:b/>
                <w:bCs/>
                <w:sz w:val="20"/>
                <w:szCs w:val="20"/>
                <w:lang w:val="fr-FR"/>
              </w:rPr>
              <w:t>Prendre en charge les patients sous lithium</w:t>
            </w:r>
          </w:p>
          <w:p w14:paraId="18E210AE" w14:textId="7618F389" w:rsidR="00796C59" w:rsidRDefault="00796C59" w:rsidP="00B04713">
            <w:pPr>
              <w:spacing w:before="8" w:after="8"/>
              <w:rPr>
                <w:rFonts w:asciiTheme="majorHAnsi" w:hAnsiTheme="majorHAnsi" w:cstheme="majorHAnsi"/>
                <w:sz w:val="20"/>
                <w:szCs w:val="20"/>
              </w:rPr>
            </w:pPr>
            <w:r w:rsidRPr="00796C59">
              <w:rPr>
                <w:rFonts w:asciiTheme="majorHAnsi" w:hAnsiTheme="majorHAnsi" w:cstheme="majorHAnsi"/>
                <w:sz w:val="20"/>
                <w:szCs w:val="20"/>
              </w:rPr>
              <w:t>[</w:t>
            </w:r>
            <w:hyperlink r:id="rId20" w:history="1">
              <w:r w:rsidRPr="00796C59">
                <w:rPr>
                  <w:rStyle w:val="Lienhypertexte"/>
                  <w:rFonts w:asciiTheme="majorHAnsi" w:hAnsiTheme="majorHAnsi" w:cstheme="majorHAnsi"/>
                  <w:sz w:val="20"/>
                  <w:szCs w:val="20"/>
                </w:rPr>
                <w:t>li</w:t>
              </w:r>
              <w:r w:rsidR="00975629">
                <w:rPr>
                  <w:rStyle w:val="Lienhypertexte"/>
                  <w:rFonts w:asciiTheme="majorHAnsi" w:hAnsiTheme="majorHAnsi" w:cstheme="majorHAnsi"/>
                  <w:sz w:val="20"/>
                  <w:szCs w:val="20"/>
                </w:rPr>
                <w:t>en</w:t>
              </w:r>
              <w:r w:rsidRPr="00796C59">
                <w:rPr>
                  <w:rStyle w:val="Lienhypertexte"/>
                  <w:rFonts w:asciiTheme="majorHAnsi" w:hAnsiTheme="majorHAnsi" w:cstheme="majorHAnsi"/>
                  <w:sz w:val="20"/>
                  <w:szCs w:val="20"/>
                </w:rPr>
                <w:t>2</w:t>
              </w:r>
            </w:hyperlink>
            <w:r w:rsidRPr="00796C59">
              <w:rPr>
                <w:rFonts w:asciiTheme="majorHAnsi" w:hAnsiTheme="majorHAnsi" w:cstheme="majorHAnsi"/>
                <w:sz w:val="20"/>
                <w:szCs w:val="20"/>
              </w:rPr>
              <w:t>]</w:t>
            </w:r>
          </w:p>
          <w:p w14:paraId="6A020717" w14:textId="4A03F8D9" w:rsidR="00796C59" w:rsidRDefault="00796C59" w:rsidP="00B04713">
            <w:pPr>
              <w:spacing w:before="8" w:after="8"/>
              <w:rPr>
                <w:rFonts w:asciiTheme="majorHAnsi" w:hAnsiTheme="majorHAnsi" w:cstheme="majorHAnsi"/>
                <w:sz w:val="20"/>
                <w:szCs w:val="20"/>
              </w:rPr>
            </w:pPr>
            <w:r>
              <w:rPr>
                <w:rFonts w:asciiTheme="majorHAnsi" w:hAnsiTheme="majorHAnsi" w:cstheme="majorHAnsi"/>
                <w:sz w:val="20"/>
                <w:szCs w:val="20"/>
              </w:rPr>
              <w:t>[</w:t>
            </w:r>
            <w:hyperlink r:id="rId21" w:history="1">
              <w:r w:rsidRPr="00970923">
                <w:rPr>
                  <w:rStyle w:val="Lienhypertexte"/>
                  <w:rFonts w:asciiTheme="majorHAnsi" w:hAnsiTheme="majorHAnsi" w:cstheme="majorHAnsi"/>
                  <w:sz w:val="20"/>
                  <w:szCs w:val="20"/>
                </w:rPr>
                <w:t>li</w:t>
              </w:r>
              <w:r w:rsidR="00975629">
                <w:rPr>
                  <w:rStyle w:val="Lienhypertexte"/>
                  <w:rFonts w:asciiTheme="majorHAnsi" w:hAnsiTheme="majorHAnsi" w:cstheme="majorHAnsi"/>
                  <w:sz w:val="20"/>
                  <w:szCs w:val="20"/>
                </w:rPr>
                <w:t>en</w:t>
              </w:r>
              <w:r w:rsidRPr="00970923">
                <w:rPr>
                  <w:rStyle w:val="Lienhypertexte"/>
                  <w:rFonts w:asciiTheme="majorHAnsi" w:hAnsiTheme="majorHAnsi" w:cstheme="majorHAnsi"/>
                  <w:sz w:val="20"/>
                  <w:szCs w:val="20"/>
                </w:rPr>
                <w:t>3</w:t>
              </w:r>
            </w:hyperlink>
            <w:r>
              <w:rPr>
                <w:rFonts w:asciiTheme="majorHAnsi" w:hAnsiTheme="majorHAnsi" w:cstheme="majorHAnsi"/>
                <w:sz w:val="20"/>
                <w:szCs w:val="20"/>
              </w:rPr>
              <w:t>]</w:t>
            </w:r>
          </w:p>
          <w:p w14:paraId="1980642A" w14:textId="77777777" w:rsidR="00796C59" w:rsidRDefault="00796C59" w:rsidP="00B04713">
            <w:pPr>
              <w:spacing w:before="8" w:after="8"/>
              <w:rPr>
                <w:rFonts w:asciiTheme="majorHAnsi" w:hAnsiTheme="majorHAnsi" w:cstheme="majorHAnsi"/>
                <w:sz w:val="20"/>
                <w:szCs w:val="20"/>
              </w:rPr>
            </w:pPr>
            <w:r>
              <w:rPr>
                <w:rFonts w:asciiTheme="majorHAnsi" w:hAnsiTheme="majorHAnsi" w:cstheme="majorHAnsi"/>
                <w:sz w:val="20"/>
                <w:szCs w:val="20"/>
              </w:rPr>
              <w:t>[</w:t>
            </w:r>
            <w:hyperlink r:id="rId22" w:history="1">
              <w:r w:rsidRPr="004D380F">
                <w:rPr>
                  <w:rStyle w:val="Lienhypertexte"/>
                  <w:rFonts w:asciiTheme="majorHAnsi" w:hAnsiTheme="majorHAnsi" w:cstheme="majorHAnsi"/>
                  <w:sz w:val="20"/>
                  <w:szCs w:val="20"/>
                </w:rPr>
                <w:t>li</w:t>
              </w:r>
              <w:r w:rsidR="00975629">
                <w:rPr>
                  <w:rStyle w:val="Lienhypertexte"/>
                  <w:rFonts w:asciiTheme="majorHAnsi" w:hAnsiTheme="majorHAnsi" w:cstheme="majorHAnsi"/>
                  <w:sz w:val="20"/>
                  <w:szCs w:val="20"/>
                </w:rPr>
                <w:t>en</w:t>
              </w:r>
              <w:r w:rsidRPr="004D380F">
                <w:rPr>
                  <w:rStyle w:val="Lienhypertexte"/>
                  <w:rFonts w:asciiTheme="majorHAnsi" w:hAnsiTheme="majorHAnsi" w:cstheme="majorHAnsi"/>
                  <w:sz w:val="20"/>
                  <w:szCs w:val="20"/>
                </w:rPr>
                <w:t>4</w:t>
              </w:r>
            </w:hyperlink>
            <w:r>
              <w:rPr>
                <w:rFonts w:asciiTheme="majorHAnsi" w:hAnsiTheme="majorHAnsi" w:cstheme="majorHAnsi"/>
                <w:sz w:val="20"/>
                <w:szCs w:val="20"/>
              </w:rPr>
              <w:t>]</w:t>
            </w:r>
          </w:p>
          <w:p w14:paraId="481A7B1A" w14:textId="77777777" w:rsidR="00F61097" w:rsidRDefault="001F654E" w:rsidP="00B04713">
            <w:pPr>
              <w:spacing w:before="8" w:after="8"/>
              <w:rPr>
                <w:rStyle w:val="Lienhypertexte"/>
                <w:rFonts w:asciiTheme="majorHAnsi" w:hAnsiTheme="majorHAnsi" w:cstheme="majorHAnsi"/>
                <w:sz w:val="20"/>
                <w:szCs w:val="20"/>
              </w:rPr>
            </w:pPr>
            <w:hyperlink r:id="rId23" w:history="1">
              <w:r w:rsidR="00F61097" w:rsidRPr="00F61097">
                <w:rPr>
                  <w:rStyle w:val="Lienhypertexte"/>
                  <w:rFonts w:asciiTheme="majorHAnsi" w:hAnsiTheme="majorHAnsi" w:cstheme="majorHAnsi"/>
                  <w:sz w:val="20"/>
                  <w:szCs w:val="20"/>
                </w:rPr>
                <w:t>[lien4b]</w:t>
              </w:r>
            </w:hyperlink>
          </w:p>
          <w:p w14:paraId="51CE6B2B" w14:textId="2387CC40" w:rsidR="00EE2623" w:rsidRPr="00796C59" w:rsidRDefault="00EE2623" w:rsidP="00B04713">
            <w:pPr>
              <w:spacing w:before="8" w:after="8"/>
              <w:rPr>
                <w:rFonts w:asciiTheme="majorHAnsi" w:hAnsiTheme="majorHAnsi" w:cstheme="majorHAnsi"/>
                <w:sz w:val="20"/>
                <w:szCs w:val="20"/>
              </w:rPr>
            </w:pPr>
            <w:r>
              <w:rPr>
                <w:rStyle w:val="Lienhypertexte"/>
              </w:rPr>
              <w:t xml:space="preserve">Lien </w:t>
            </w:r>
            <w:hyperlink r:id="rId24" w:history="1">
              <w:proofErr w:type="spellStart"/>
              <w:r w:rsidRPr="00EE2623">
                <w:rPr>
                  <w:rStyle w:val="Lienhypertexte"/>
                </w:rPr>
                <w:t>supplémentaire</w:t>
              </w:r>
              <w:proofErr w:type="spellEnd"/>
            </w:hyperlink>
          </w:p>
        </w:tc>
        <w:tc>
          <w:tcPr>
            <w:tcW w:w="3852" w:type="pct"/>
            <w:tcBorders>
              <w:top w:val="nil"/>
              <w:left w:val="nil"/>
              <w:bottom w:val="nil"/>
              <w:right w:val="single" w:sz="48" w:space="0" w:color="E2F2FF"/>
            </w:tcBorders>
            <w:shd w:val="clear" w:color="auto" w:fill="E0F2FF"/>
          </w:tcPr>
          <w:p w14:paraId="5C2BACB6" w14:textId="00549B6F" w:rsidR="007467A0" w:rsidRPr="00A46EF4" w:rsidRDefault="007467A0" w:rsidP="007467A0">
            <w:pPr>
              <w:spacing w:before="8" w:after="8" w:line="233" w:lineRule="auto"/>
              <w:rPr>
                <w:rFonts w:asciiTheme="majorHAnsi" w:hAnsiTheme="majorHAnsi" w:cstheme="majorHAnsi"/>
                <w:b/>
                <w:bCs/>
                <w:sz w:val="20"/>
                <w:szCs w:val="20"/>
                <w:u w:val="single"/>
                <w:lang w:val="fr-FR"/>
              </w:rPr>
            </w:pPr>
            <w:r w:rsidRPr="00A46EF4">
              <w:rPr>
                <w:rFonts w:asciiTheme="majorHAnsi" w:hAnsiTheme="majorHAnsi" w:cstheme="majorHAnsi"/>
                <w:b/>
                <w:bCs/>
                <w:sz w:val="20"/>
                <w:szCs w:val="20"/>
                <w:u w:val="single"/>
                <w:lang w:val="fr-FR"/>
              </w:rPr>
              <w:t>Rappele</w:t>
            </w:r>
            <w:r w:rsidR="00374AD2" w:rsidRPr="00A46EF4">
              <w:rPr>
                <w:rFonts w:asciiTheme="majorHAnsi" w:hAnsiTheme="majorHAnsi" w:cstheme="majorHAnsi"/>
                <w:b/>
                <w:bCs/>
                <w:sz w:val="20"/>
                <w:szCs w:val="20"/>
                <w:u w:val="single"/>
                <w:lang w:val="fr-FR"/>
              </w:rPr>
              <w:t>r</w:t>
            </w:r>
            <w:r w:rsidRPr="00A46EF4">
              <w:rPr>
                <w:rFonts w:asciiTheme="majorHAnsi" w:hAnsiTheme="majorHAnsi" w:cstheme="majorHAnsi"/>
                <w:b/>
                <w:bCs/>
                <w:sz w:val="20"/>
                <w:szCs w:val="20"/>
                <w:u w:val="single"/>
                <w:lang w:val="fr-FR"/>
              </w:rPr>
              <w:t xml:space="preserve"> à tous les </w:t>
            </w:r>
            <w:r w:rsidR="00A46EF4" w:rsidRPr="00A46EF4">
              <w:rPr>
                <w:rFonts w:asciiTheme="majorHAnsi" w:hAnsiTheme="majorHAnsi" w:cstheme="majorHAnsi"/>
                <w:b/>
                <w:bCs/>
                <w:sz w:val="20"/>
                <w:szCs w:val="20"/>
                <w:u w:val="single"/>
                <w:lang w:val="fr-FR"/>
              </w:rPr>
              <w:t>patients :</w:t>
            </w:r>
          </w:p>
          <w:p w14:paraId="128DBA4E" w14:textId="1E2DAE8A" w:rsidR="007467A0" w:rsidRPr="00A46EF4" w:rsidRDefault="00B303A0" w:rsidP="007467A0">
            <w:pPr>
              <w:numPr>
                <w:ilvl w:val="0"/>
                <w:numId w:val="6"/>
              </w:numPr>
              <w:spacing w:before="8" w:after="8" w:line="233" w:lineRule="auto"/>
              <w:rPr>
                <w:rFonts w:asciiTheme="majorHAnsi" w:hAnsiTheme="majorHAnsi" w:cstheme="majorHAnsi"/>
                <w:sz w:val="20"/>
                <w:szCs w:val="20"/>
                <w:lang w:val="fr-FR"/>
              </w:rPr>
            </w:pPr>
            <w:r>
              <w:rPr>
                <w:rFonts w:asciiTheme="majorHAnsi" w:hAnsiTheme="majorHAnsi" w:cstheme="majorHAnsi"/>
                <w:sz w:val="20"/>
                <w:szCs w:val="20"/>
                <w:lang w:val="fr-FR"/>
              </w:rPr>
              <w:t>De ne pas arrêter</w:t>
            </w:r>
            <w:r w:rsidR="007467A0" w:rsidRPr="00A46EF4">
              <w:rPr>
                <w:rFonts w:asciiTheme="majorHAnsi" w:hAnsiTheme="majorHAnsi" w:cstheme="majorHAnsi"/>
                <w:sz w:val="20"/>
                <w:szCs w:val="20"/>
                <w:lang w:val="fr-FR"/>
              </w:rPr>
              <w:t xml:space="preserve"> le lithium brusquement à moins d'avis contraire.</w:t>
            </w:r>
          </w:p>
          <w:p w14:paraId="6231034C" w14:textId="57C3B3FB" w:rsidR="007467A0" w:rsidRPr="00A46EF4" w:rsidRDefault="00B303A0" w:rsidP="007467A0">
            <w:pPr>
              <w:numPr>
                <w:ilvl w:val="0"/>
                <w:numId w:val="6"/>
              </w:numPr>
              <w:spacing w:before="8" w:after="8" w:line="233" w:lineRule="auto"/>
              <w:rPr>
                <w:rFonts w:asciiTheme="majorHAnsi" w:hAnsiTheme="majorHAnsi" w:cstheme="majorHAnsi"/>
                <w:sz w:val="20"/>
                <w:szCs w:val="20"/>
                <w:lang w:val="fr-FR"/>
              </w:rPr>
            </w:pPr>
            <w:r>
              <w:rPr>
                <w:rFonts w:asciiTheme="majorHAnsi" w:hAnsiTheme="majorHAnsi" w:cstheme="majorHAnsi"/>
                <w:sz w:val="20"/>
                <w:szCs w:val="20"/>
                <w:lang w:val="fr-FR"/>
              </w:rPr>
              <w:t xml:space="preserve">D’avoir 15 jours </w:t>
            </w:r>
            <w:r w:rsidR="00630C24">
              <w:rPr>
                <w:rFonts w:asciiTheme="majorHAnsi" w:hAnsiTheme="majorHAnsi" w:cstheme="majorHAnsi"/>
                <w:sz w:val="20"/>
                <w:szCs w:val="20"/>
                <w:lang w:val="fr-FR"/>
              </w:rPr>
              <w:t xml:space="preserve">de traitements d’avance </w:t>
            </w:r>
            <w:r w:rsidR="003637D3">
              <w:rPr>
                <w:rFonts w:asciiTheme="majorHAnsi" w:hAnsiTheme="majorHAnsi" w:cstheme="majorHAnsi"/>
                <w:sz w:val="20"/>
                <w:szCs w:val="20"/>
                <w:lang w:val="fr-FR"/>
              </w:rPr>
              <w:t xml:space="preserve"> </w:t>
            </w:r>
          </w:p>
          <w:p w14:paraId="0D5866F6" w14:textId="20CC98B6" w:rsidR="007467A0" w:rsidRPr="00A46EF4" w:rsidRDefault="00B303A0" w:rsidP="007467A0">
            <w:pPr>
              <w:numPr>
                <w:ilvl w:val="0"/>
                <w:numId w:val="6"/>
              </w:numPr>
              <w:spacing w:before="8" w:after="8" w:line="233" w:lineRule="auto"/>
              <w:rPr>
                <w:rFonts w:asciiTheme="majorHAnsi" w:hAnsiTheme="majorHAnsi" w:cstheme="majorHAnsi"/>
                <w:sz w:val="20"/>
                <w:szCs w:val="20"/>
                <w:lang w:val="fr-FR"/>
              </w:rPr>
            </w:pPr>
            <w:r>
              <w:rPr>
                <w:rFonts w:asciiTheme="majorHAnsi" w:hAnsiTheme="majorHAnsi" w:cstheme="majorHAnsi"/>
                <w:sz w:val="20"/>
                <w:szCs w:val="20"/>
                <w:lang w:val="fr-FR"/>
              </w:rPr>
              <w:t>De c</w:t>
            </w:r>
            <w:r w:rsidR="007467A0" w:rsidRPr="00A46EF4">
              <w:rPr>
                <w:rFonts w:asciiTheme="majorHAnsi" w:hAnsiTheme="majorHAnsi" w:cstheme="majorHAnsi"/>
                <w:sz w:val="20"/>
                <w:szCs w:val="20"/>
                <w:lang w:val="fr-FR"/>
              </w:rPr>
              <w:t xml:space="preserve">onsulter un médecin en cas </w:t>
            </w:r>
            <w:r w:rsidR="007467A0" w:rsidRPr="003D31D0">
              <w:rPr>
                <w:rFonts w:asciiTheme="majorHAnsi" w:hAnsiTheme="majorHAnsi" w:cstheme="majorHAnsi"/>
                <w:sz w:val="20"/>
                <w:szCs w:val="20"/>
                <w:lang w:val="fr-FR"/>
              </w:rPr>
              <w:t xml:space="preserve">de </w:t>
            </w:r>
            <w:r w:rsidR="00630C24" w:rsidRPr="003D31D0">
              <w:rPr>
                <w:rFonts w:asciiTheme="majorHAnsi" w:hAnsiTheme="majorHAnsi" w:cstheme="majorHAnsi"/>
                <w:sz w:val="20"/>
                <w:szCs w:val="20"/>
                <w:lang w:val="fr-FR"/>
              </w:rPr>
              <w:t>fièvre</w:t>
            </w:r>
            <w:r w:rsidR="00630C24">
              <w:rPr>
                <w:rFonts w:asciiTheme="majorHAnsi" w:hAnsiTheme="majorHAnsi" w:cstheme="majorHAnsi"/>
                <w:sz w:val="20"/>
                <w:szCs w:val="20"/>
                <w:lang w:val="fr-FR"/>
              </w:rPr>
              <w:t xml:space="preserve">, de </w:t>
            </w:r>
            <w:r w:rsidR="007467A0" w:rsidRPr="00A46EF4">
              <w:rPr>
                <w:rFonts w:asciiTheme="majorHAnsi" w:hAnsiTheme="majorHAnsi" w:cstheme="majorHAnsi"/>
                <w:sz w:val="20"/>
                <w:szCs w:val="20"/>
                <w:lang w:val="fr-FR"/>
              </w:rPr>
              <w:t xml:space="preserve">diarrhée ou de vomissements ou de malaise </w:t>
            </w:r>
          </w:p>
          <w:p w14:paraId="13729182" w14:textId="0F92BD76" w:rsidR="007467A0" w:rsidRPr="00A46EF4" w:rsidRDefault="00B303A0" w:rsidP="007467A0">
            <w:pPr>
              <w:numPr>
                <w:ilvl w:val="0"/>
                <w:numId w:val="6"/>
              </w:numPr>
              <w:spacing w:before="8" w:after="8" w:line="233" w:lineRule="auto"/>
              <w:rPr>
                <w:rFonts w:asciiTheme="majorHAnsi" w:hAnsiTheme="majorHAnsi" w:cstheme="majorHAnsi"/>
                <w:sz w:val="20"/>
                <w:szCs w:val="20"/>
                <w:lang w:val="fr-FR"/>
              </w:rPr>
            </w:pPr>
            <w:r>
              <w:rPr>
                <w:rFonts w:asciiTheme="majorHAnsi" w:hAnsiTheme="majorHAnsi" w:cstheme="majorHAnsi"/>
                <w:sz w:val="20"/>
                <w:szCs w:val="20"/>
                <w:lang w:val="fr-FR"/>
              </w:rPr>
              <w:t>De veiller à être suffisamment hydraté</w:t>
            </w:r>
            <w:r w:rsidR="007467A0" w:rsidRPr="00A46EF4">
              <w:rPr>
                <w:rFonts w:asciiTheme="majorHAnsi" w:hAnsiTheme="majorHAnsi" w:cstheme="majorHAnsi"/>
                <w:sz w:val="20"/>
                <w:szCs w:val="20"/>
                <w:lang w:val="fr-FR"/>
              </w:rPr>
              <w:t>, surtout en cas de fièvre, d</w:t>
            </w:r>
            <w:r>
              <w:rPr>
                <w:rFonts w:asciiTheme="majorHAnsi" w:hAnsiTheme="majorHAnsi" w:cstheme="majorHAnsi"/>
                <w:sz w:val="20"/>
                <w:szCs w:val="20"/>
                <w:lang w:val="fr-FR"/>
              </w:rPr>
              <w:t>’alitement</w:t>
            </w:r>
            <w:r w:rsidR="00374AD2" w:rsidRPr="00A46EF4">
              <w:rPr>
                <w:rFonts w:asciiTheme="majorHAnsi" w:hAnsiTheme="majorHAnsi" w:cstheme="majorHAnsi"/>
                <w:sz w:val="20"/>
                <w:szCs w:val="20"/>
                <w:lang w:val="fr-FR"/>
              </w:rPr>
              <w:t>,</w:t>
            </w:r>
            <w:r w:rsidR="007467A0" w:rsidRPr="00A46EF4">
              <w:rPr>
                <w:rFonts w:asciiTheme="majorHAnsi" w:hAnsiTheme="majorHAnsi" w:cstheme="majorHAnsi"/>
                <w:sz w:val="20"/>
                <w:szCs w:val="20"/>
                <w:lang w:val="fr-FR"/>
              </w:rPr>
              <w:t xml:space="preserve"> d’infection pulmonaire ou de pneumonie.</w:t>
            </w:r>
          </w:p>
          <w:p w14:paraId="2D44ED29" w14:textId="6540579F" w:rsidR="007467A0" w:rsidRPr="00A46EF4" w:rsidRDefault="007467A0" w:rsidP="007467A0">
            <w:pPr>
              <w:numPr>
                <w:ilvl w:val="0"/>
                <w:numId w:val="6"/>
              </w:numPr>
              <w:spacing w:before="8" w:after="8" w:line="233" w:lineRule="auto"/>
              <w:rPr>
                <w:rFonts w:asciiTheme="majorHAnsi" w:hAnsiTheme="majorHAnsi" w:cstheme="majorHAnsi"/>
                <w:sz w:val="20"/>
                <w:szCs w:val="20"/>
                <w:lang w:val="fr-FR"/>
              </w:rPr>
            </w:pPr>
            <w:r w:rsidRPr="00A46EF4">
              <w:rPr>
                <w:rFonts w:asciiTheme="majorHAnsi" w:hAnsiTheme="majorHAnsi" w:cstheme="majorHAnsi"/>
                <w:sz w:val="20"/>
                <w:szCs w:val="20"/>
                <w:lang w:val="fr-FR"/>
              </w:rPr>
              <w:t xml:space="preserve">Informer </w:t>
            </w:r>
            <w:r w:rsidR="00B303A0">
              <w:rPr>
                <w:rFonts w:asciiTheme="majorHAnsi" w:hAnsiTheme="majorHAnsi" w:cstheme="majorHAnsi"/>
                <w:sz w:val="20"/>
                <w:szCs w:val="20"/>
                <w:lang w:val="fr-FR"/>
              </w:rPr>
              <w:t>l’</w:t>
            </w:r>
            <w:r w:rsidRPr="00A46EF4">
              <w:rPr>
                <w:rFonts w:asciiTheme="majorHAnsi" w:hAnsiTheme="majorHAnsi" w:cstheme="majorHAnsi"/>
                <w:sz w:val="20"/>
                <w:szCs w:val="20"/>
                <w:lang w:val="fr-FR"/>
              </w:rPr>
              <w:t xml:space="preserve">équipe soignante </w:t>
            </w:r>
            <w:r w:rsidR="003637D3">
              <w:rPr>
                <w:rFonts w:asciiTheme="majorHAnsi" w:hAnsiTheme="majorHAnsi" w:cstheme="majorHAnsi"/>
                <w:sz w:val="20"/>
                <w:szCs w:val="20"/>
                <w:lang w:val="fr-FR"/>
              </w:rPr>
              <w:t xml:space="preserve">habituelle </w:t>
            </w:r>
            <w:r w:rsidRPr="00A46EF4">
              <w:rPr>
                <w:rFonts w:asciiTheme="majorHAnsi" w:hAnsiTheme="majorHAnsi" w:cstheme="majorHAnsi"/>
                <w:sz w:val="20"/>
                <w:szCs w:val="20"/>
                <w:lang w:val="fr-FR"/>
              </w:rPr>
              <w:t>de tout</w:t>
            </w:r>
            <w:r w:rsidR="003637D3">
              <w:rPr>
                <w:rFonts w:asciiTheme="majorHAnsi" w:hAnsiTheme="majorHAnsi" w:cstheme="majorHAnsi"/>
                <w:sz w:val="20"/>
                <w:szCs w:val="20"/>
                <w:lang w:val="fr-FR"/>
              </w:rPr>
              <w:t>e</w:t>
            </w:r>
            <w:r w:rsidRPr="00A46EF4">
              <w:rPr>
                <w:rFonts w:asciiTheme="majorHAnsi" w:hAnsiTheme="majorHAnsi" w:cstheme="majorHAnsi"/>
                <w:sz w:val="20"/>
                <w:szCs w:val="20"/>
                <w:lang w:val="fr-FR"/>
              </w:rPr>
              <w:t xml:space="preserve"> </w:t>
            </w:r>
            <w:r w:rsidR="003637D3">
              <w:rPr>
                <w:rFonts w:asciiTheme="majorHAnsi" w:hAnsiTheme="majorHAnsi" w:cstheme="majorHAnsi"/>
                <w:sz w:val="20"/>
                <w:szCs w:val="20"/>
                <w:lang w:val="fr-FR"/>
              </w:rPr>
              <w:t xml:space="preserve">nouvelles prescriptions </w:t>
            </w:r>
            <w:r w:rsidRPr="00A46EF4">
              <w:rPr>
                <w:rFonts w:asciiTheme="majorHAnsi" w:hAnsiTheme="majorHAnsi" w:cstheme="majorHAnsi"/>
                <w:sz w:val="20"/>
                <w:szCs w:val="20"/>
                <w:lang w:val="fr-FR"/>
              </w:rPr>
              <w:t>médicamenteu</w:t>
            </w:r>
            <w:r w:rsidR="003637D3">
              <w:rPr>
                <w:rFonts w:asciiTheme="majorHAnsi" w:hAnsiTheme="majorHAnsi" w:cstheme="majorHAnsi"/>
                <w:sz w:val="20"/>
                <w:szCs w:val="20"/>
                <w:lang w:val="fr-FR"/>
              </w:rPr>
              <w:t>ses</w:t>
            </w:r>
            <w:r w:rsidRPr="00A46EF4">
              <w:rPr>
                <w:rFonts w:asciiTheme="majorHAnsi" w:hAnsiTheme="majorHAnsi" w:cstheme="majorHAnsi"/>
                <w:sz w:val="20"/>
                <w:szCs w:val="20"/>
                <w:lang w:val="fr-FR"/>
              </w:rPr>
              <w:t>.</w:t>
            </w:r>
          </w:p>
          <w:p w14:paraId="1F16201C" w14:textId="428883A5" w:rsidR="007467A0" w:rsidRPr="00A46EF4" w:rsidRDefault="007467A0" w:rsidP="007467A0">
            <w:pPr>
              <w:numPr>
                <w:ilvl w:val="0"/>
                <w:numId w:val="6"/>
              </w:numPr>
              <w:spacing w:before="8" w:after="8" w:line="233" w:lineRule="auto"/>
              <w:rPr>
                <w:rFonts w:asciiTheme="majorHAnsi" w:hAnsiTheme="majorHAnsi" w:cstheme="majorHAnsi"/>
                <w:sz w:val="20"/>
                <w:szCs w:val="20"/>
                <w:lang w:val="fr-FR"/>
              </w:rPr>
            </w:pPr>
            <w:r w:rsidRPr="00A46EF4">
              <w:rPr>
                <w:rFonts w:asciiTheme="majorHAnsi" w:hAnsiTheme="majorHAnsi" w:cstheme="majorHAnsi"/>
                <w:sz w:val="20"/>
                <w:szCs w:val="20"/>
                <w:lang w:val="fr-FR"/>
              </w:rPr>
              <w:t xml:space="preserve">Ne prenez pas de médicaments anti-inflammatoires non </w:t>
            </w:r>
            <w:r w:rsidR="00A46EF4" w:rsidRPr="00A46EF4">
              <w:rPr>
                <w:rFonts w:asciiTheme="majorHAnsi" w:hAnsiTheme="majorHAnsi" w:cstheme="majorHAnsi"/>
                <w:sz w:val="20"/>
                <w:szCs w:val="20"/>
                <w:lang w:val="fr-FR"/>
              </w:rPr>
              <w:t>stéroïdiens (</w:t>
            </w:r>
            <w:r w:rsidRPr="00A46EF4">
              <w:rPr>
                <w:rFonts w:asciiTheme="majorHAnsi" w:hAnsiTheme="majorHAnsi" w:cstheme="majorHAnsi"/>
                <w:sz w:val="20"/>
                <w:szCs w:val="20"/>
                <w:lang w:val="fr-FR"/>
              </w:rPr>
              <w:t>par exemple, l'ibuprofène). Les patients peuvent utiliser du paracétamol avec du lithium</w:t>
            </w:r>
            <w:r w:rsidR="00B303A0">
              <w:rPr>
                <w:rFonts w:asciiTheme="majorHAnsi" w:hAnsiTheme="majorHAnsi" w:cstheme="majorHAnsi"/>
                <w:sz w:val="20"/>
                <w:szCs w:val="20"/>
                <w:lang w:val="fr-FR"/>
              </w:rPr>
              <w:t xml:space="preserve"> en cas de douleurs ou de symptômes grippaux</w:t>
            </w:r>
          </w:p>
          <w:p w14:paraId="7573AC4F" w14:textId="77777777" w:rsidR="000D7110" w:rsidRDefault="000D7110" w:rsidP="003E660E">
            <w:pPr>
              <w:spacing w:before="8" w:after="8" w:line="233" w:lineRule="auto"/>
              <w:rPr>
                <w:rFonts w:asciiTheme="majorHAnsi" w:hAnsiTheme="majorHAnsi" w:cstheme="majorHAnsi"/>
                <w:b/>
                <w:bCs/>
                <w:sz w:val="20"/>
                <w:szCs w:val="20"/>
                <w:lang w:val="fr-FR"/>
              </w:rPr>
            </w:pPr>
          </w:p>
          <w:p w14:paraId="0C312CD8" w14:textId="574AAF69" w:rsidR="005526DC" w:rsidRPr="000D7110" w:rsidRDefault="002F60D5" w:rsidP="003E660E">
            <w:pPr>
              <w:spacing w:before="8" w:after="8" w:line="233" w:lineRule="auto"/>
              <w:rPr>
                <w:rFonts w:asciiTheme="majorHAnsi" w:hAnsiTheme="majorHAnsi" w:cstheme="majorHAnsi"/>
                <w:sz w:val="20"/>
                <w:szCs w:val="20"/>
                <w:lang w:val="fr-FR"/>
              </w:rPr>
            </w:pPr>
            <w:r w:rsidRPr="000D7110">
              <w:rPr>
                <w:rFonts w:asciiTheme="majorHAnsi" w:hAnsiTheme="majorHAnsi" w:cstheme="majorHAnsi"/>
                <w:b/>
                <w:bCs/>
                <w:sz w:val="20"/>
                <w:szCs w:val="20"/>
                <w:lang w:val="fr-FR"/>
              </w:rPr>
              <w:t>La surveillance du lith</w:t>
            </w:r>
            <w:r w:rsidR="000D7110">
              <w:rPr>
                <w:rFonts w:asciiTheme="majorHAnsi" w:hAnsiTheme="majorHAnsi" w:cstheme="majorHAnsi"/>
                <w:b/>
                <w:bCs/>
                <w:sz w:val="20"/>
                <w:szCs w:val="20"/>
                <w:lang w:val="fr-FR"/>
              </w:rPr>
              <w:t>i</w:t>
            </w:r>
            <w:r w:rsidRPr="000D7110">
              <w:rPr>
                <w:rFonts w:asciiTheme="majorHAnsi" w:hAnsiTheme="majorHAnsi" w:cstheme="majorHAnsi"/>
                <w:b/>
                <w:bCs/>
                <w:sz w:val="20"/>
                <w:szCs w:val="20"/>
                <w:lang w:val="fr-FR"/>
              </w:rPr>
              <w:t xml:space="preserve">um doit être maintenue aussi régulièrement que possible. </w:t>
            </w:r>
            <w:r w:rsidRPr="000D7110">
              <w:rPr>
                <w:rFonts w:asciiTheme="majorHAnsi" w:hAnsiTheme="majorHAnsi" w:cstheme="majorHAnsi"/>
                <w:sz w:val="20"/>
                <w:szCs w:val="20"/>
                <w:lang w:val="fr-FR"/>
              </w:rPr>
              <w:t xml:space="preserve">Chez les patients </w:t>
            </w:r>
            <w:r w:rsidR="000D7110" w:rsidRPr="000D7110">
              <w:rPr>
                <w:rFonts w:asciiTheme="majorHAnsi" w:hAnsiTheme="majorHAnsi" w:cstheme="majorHAnsi"/>
                <w:sz w:val="20"/>
                <w:szCs w:val="20"/>
                <w:lang w:val="fr-FR"/>
              </w:rPr>
              <w:t xml:space="preserve">stables </w:t>
            </w:r>
            <w:r w:rsidRPr="000D7110">
              <w:rPr>
                <w:rFonts w:asciiTheme="majorHAnsi" w:hAnsiTheme="majorHAnsi" w:cstheme="majorHAnsi"/>
                <w:sz w:val="20"/>
                <w:szCs w:val="20"/>
                <w:lang w:val="fr-FR"/>
              </w:rPr>
              <w:t>sous lithium depuis plus d’un an</w:t>
            </w:r>
            <w:r w:rsidR="00471618">
              <w:rPr>
                <w:rFonts w:asciiTheme="majorHAnsi" w:hAnsiTheme="majorHAnsi" w:cstheme="majorHAnsi"/>
                <w:sz w:val="20"/>
                <w:szCs w:val="20"/>
                <w:lang w:val="fr-FR"/>
              </w:rPr>
              <w:t>,</w:t>
            </w:r>
            <w:r w:rsidR="000D7110" w:rsidRPr="000D7110">
              <w:rPr>
                <w:rFonts w:asciiTheme="majorHAnsi" w:hAnsiTheme="majorHAnsi" w:cstheme="majorHAnsi"/>
                <w:sz w:val="20"/>
                <w:szCs w:val="20"/>
                <w:lang w:val="fr-FR"/>
              </w:rPr>
              <w:t xml:space="preserve"> </w:t>
            </w:r>
            <w:r w:rsidRPr="000D7110">
              <w:rPr>
                <w:rFonts w:asciiTheme="majorHAnsi" w:hAnsiTheme="majorHAnsi" w:cstheme="majorHAnsi"/>
                <w:sz w:val="20"/>
                <w:szCs w:val="20"/>
                <w:lang w:val="fr-FR"/>
              </w:rPr>
              <w:t xml:space="preserve">ne présentant pas de comorbidités somatiques </w:t>
            </w:r>
            <w:r w:rsidR="00471618">
              <w:rPr>
                <w:rFonts w:asciiTheme="majorHAnsi" w:hAnsiTheme="majorHAnsi" w:cstheme="majorHAnsi"/>
                <w:sz w:val="20"/>
                <w:szCs w:val="20"/>
                <w:lang w:val="fr-FR"/>
              </w:rPr>
              <w:t xml:space="preserve">et </w:t>
            </w:r>
            <w:r w:rsidR="000D7110" w:rsidRPr="000D7110">
              <w:rPr>
                <w:rFonts w:asciiTheme="majorHAnsi" w:hAnsiTheme="majorHAnsi" w:cstheme="majorHAnsi"/>
                <w:sz w:val="20"/>
                <w:szCs w:val="20"/>
                <w:lang w:val="fr-FR"/>
              </w:rPr>
              <w:t xml:space="preserve">pour lesquels la surveillance s’avère difficile, une extension du délai entre deux lithémie est envisageable. </w:t>
            </w:r>
          </w:p>
          <w:p w14:paraId="103341D8" w14:textId="77777777" w:rsidR="00796C59" w:rsidRPr="002F60D5" w:rsidRDefault="00796C59" w:rsidP="003E660E">
            <w:pPr>
              <w:spacing w:before="8" w:after="8" w:line="233" w:lineRule="auto"/>
              <w:rPr>
                <w:rFonts w:asciiTheme="majorHAnsi" w:hAnsiTheme="majorHAnsi" w:cstheme="majorHAnsi"/>
                <w:sz w:val="20"/>
                <w:szCs w:val="20"/>
                <w:lang w:val="fr-FR"/>
              </w:rPr>
            </w:pPr>
          </w:p>
          <w:p w14:paraId="20A06BAB" w14:textId="6EE249D9" w:rsidR="00796C59" w:rsidRPr="000D7110" w:rsidRDefault="000D7110" w:rsidP="003E660E">
            <w:pPr>
              <w:spacing w:before="8" w:after="8" w:line="233" w:lineRule="auto"/>
              <w:rPr>
                <w:rFonts w:asciiTheme="majorHAnsi" w:hAnsiTheme="majorHAnsi" w:cstheme="majorHAnsi"/>
                <w:sz w:val="20"/>
                <w:szCs w:val="20"/>
                <w:lang w:val="fr-FR"/>
              </w:rPr>
            </w:pPr>
            <w:r>
              <w:rPr>
                <w:rFonts w:asciiTheme="majorHAnsi" w:hAnsiTheme="majorHAnsi" w:cstheme="majorHAnsi"/>
                <w:sz w:val="20"/>
                <w:szCs w:val="20"/>
                <w:lang w:val="fr-FR"/>
              </w:rPr>
              <w:t>Certaines décisions cliniques peuvent être prise en s’aidant d’</w:t>
            </w:r>
            <w:r w:rsidRPr="000D7110">
              <w:rPr>
                <w:rFonts w:asciiTheme="majorHAnsi" w:hAnsiTheme="majorHAnsi" w:cstheme="majorHAnsi"/>
                <w:sz w:val="20"/>
                <w:szCs w:val="20"/>
                <w:lang w:val="fr-FR"/>
              </w:rPr>
              <w:t>arbres décision</w:t>
            </w:r>
            <w:r w:rsidR="00471618">
              <w:rPr>
                <w:rFonts w:asciiTheme="majorHAnsi" w:hAnsiTheme="majorHAnsi" w:cstheme="majorHAnsi"/>
                <w:sz w:val="20"/>
                <w:szCs w:val="20"/>
                <w:lang w:val="fr-FR"/>
              </w:rPr>
              <w:t xml:space="preserve">nels </w:t>
            </w:r>
            <w:r w:rsidRPr="000D7110">
              <w:rPr>
                <w:rFonts w:asciiTheme="majorHAnsi" w:hAnsiTheme="majorHAnsi" w:cstheme="majorHAnsi"/>
                <w:sz w:val="20"/>
                <w:szCs w:val="20"/>
                <w:lang w:val="fr-FR"/>
              </w:rPr>
              <w:t>évaluant la santé mentale, les besoins somatique</w:t>
            </w:r>
            <w:r>
              <w:rPr>
                <w:rFonts w:asciiTheme="majorHAnsi" w:hAnsiTheme="majorHAnsi" w:cstheme="majorHAnsi"/>
                <w:sz w:val="20"/>
                <w:szCs w:val="20"/>
                <w:lang w:val="fr-FR"/>
              </w:rPr>
              <w:t>s et psychosociaux</w:t>
            </w:r>
            <w:r w:rsidR="00471618">
              <w:rPr>
                <w:rFonts w:asciiTheme="majorHAnsi" w:hAnsiTheme="majorHAnsi" w:cstheme="majorHAnsi"/>
                <w:sz w:val="20"/>
                <w:szCs w:val="20"/>
                <w:lang w:val="fr-FR"/>
              </w:rPr>
              <w:t xml:space="preserve">. </w:t>
            </w:r>
            <w:r>
              <w:rPr>
                <w:rFonts w:asciiTheme="majorHAnsi" w:hAnsiTheme="majorHAnsi" w:cstheme="majorHAnsi"/>
                <w:sz w:val="20"/>
                <w:szCs w:val="20"/>
                <w:lang w:val="fr-FR"/>
              </w:rPr>
              <w:t xml:space="preserve"> </w:t>
            </w:r>
            <w:r w:rsidR="00471618">
              <w:rPr>
                <w:rFonts w:asciiTheme="majorHAnsi" w:hAnsiTheme="majorHAnsi" w:cstheme="majorHAnsi"/>
                <w:sz w:val="20"/>
                <w:szCs w:val="20"/>
                <w:lang w:val="fr-FR"/>
              </w:rPr>
              <w:t>D</w:t>
            </w:r>
            <w:r>
              <w:rPr>
                <w:rFonts w:asciiTheme="majorHAnsi" w:hAnsiTheme="majorHAnsi" w:cstheme="majorHAnsi"/>
                <w:sz w:val="20"/>
                <w:szCs w:val="20"/>
                <w:lang w:val="fr-FR"/>
              </w:rPr>
              <w:t>isponible</w:t>
            </w:r>
            <w:r w:rsidR="00471618">
              <w:rPr>
                <w:rFonts w:asciiTheme="majorHAnsi" w:hAnsiTheme="majorHAnsi" w:cstheme="majorHAnsi"/>
                <w:sz w:val="20"/>
                <w:szCs w:val="20"/>
                <w:lang w:val="fr-FR"/>
              </w:rPr>
              <w:t>s</w:t>
            </w:r>
            <w:r>
              <w:rPr>
                <w:rFonts w:asciiTheme="majorHAnsi" w:hAnsiTheme="majorHAnsi" w:cstheme="majorHAnsi"/>
                <w:sz w:val="20"/>
                <w:szCs w:val="20"/>
                <w:lang w:val="fr-FR"/>
              </w:rPr>
              <w:t xml:space="preserve"> </w:t>
            </w:r>
            <w:hyperlink r:id="rId25" w:history="1">
              <w:r w:rsidRPr="000D7110">
                <w:rPr>
                  <w:rStyle w:val="Lienhypertexte"/>
                  <w:rFonts w:asciiTheme="majorHAnsi" w:hAnsiTheme="majorHAnsi" w:cstheme="majorHAnsi"/>
                  <w:sz w:val="20"/>
                  <w:szCs w:val="20"/>
                  <w:lang w:val="fr-FR"/>
                </w:rPr>
                <w:t>ici</w:t>
              </w:r>
            </w:hyperlink>
            <w:r w:rsidR="00796C59" w:rsidRPr="000D7110">
              <w:rPr>
                <w:rFonts w:asciiTheme="majorHAnsi" w:hAnsiTheme="majorHAnsi" w:cstheme="majorHAnsi"/>
                <w:sz w:val="20"/>
                <w:szCs w:val="20"/>
                <w:lang w:val="fr-FR"/>
              </w:rPr>
              <w:t>.</w:t>
            </w:r>
          </w:p>
          <w:p w14:paraId="5FF4425F" w14:textId="77777777" w:rsidR="00796C59" w:rsidRDefault="00796C59" w:rsidP="003E660E">
            <w:pPr>
              <w:spacing w:before="8" w:after="8" w:line="233" w:lineRule="auto"/>
              <w:rPr>
                <w:rFonts w:asciiTheme="majorHAnsi" w:hAnsiTheme="majorHAnsi" w:cstheme="majorHAnsi"/>
                <w:sz w:val="20"/>
                <w:szCs w:val="20"/>
                <w:lang w:val="fr-FR"/>
              </w:rPr>
            </w:pPr>
          </w:p>
          <w:p w14:paraId="76F22ECE" w14:textId="50B71EDE" w:rsidR="00F61097" w:rsidRPr="000D7110" w:rsidRDefault="00F61097" w:rsidP="003E660E">
            <w:pPr>
              <w:spacing w:before="8" w:after="8" w:line="233" w:lineRule="auto"/>
              <w:rPr>
                <w:rFonts w:asciiTheme="majorHAnsi" w:hAnsiTheme="majorHAnsi" w:cstheme="majorHAnsi"/>
                <w:sz w:val="20"/>
                <w:szCs w:val="20"/>
                <w:lang w:val="fr-FR"/>
              </w:rPr>
            </w:pPr>
            <w:r>
              <w:rPr>
                <w:rFonts w:asciiTheme="majorHAnsi" w:hAnsiTheme="majorHAnsi" w:cstheme="majorHAnsi"/>
                <w:sz w:val="20"/>
                <w:szCs w:val="20"/>
                <w:lang w:val="fr-FR"/>
              </w:rPr>
              <w:t>Bien rappeler aux patients l’importance d’entretenir une bonne condition physique, des apports hydriques suffisants et une surveillance régulière de la lithémie autant que possible.</w:t>
            </w:r>
          </w:p>
        </w:tc>
      </w:tr>
      <w:tr w:rsidR="00796C59" w:rsidRPr="00796C59" w14:paraId="77F8C3BC" w14:textId="77777777" w:rsidTr="00D54077">
        <w:tc>
          <w:tcPr>
            <w:tcW w:w="1148" w:type="pct"/>
            <w:tcBorders>
              <w:top w:val="nil"/>
              <w:left w:val="single" w:sz="48" w:space="0" w:color="E2F2FF"/>
              <w:bottom w:val="nil"/>
              <w:right w:val="nil"/>
            </w:tcBorders>
          </w:tcPr>
          <w:p w14:paraId="5D0D913B" w14:textId="7A3800E4" w:rsidR="00796C59" w:rsidRPr="00975629" w:rsidRDefault="00975629" w:rsidP="00B04713">
            <w:pPr>
              <w:spacing w:before="8" w:after="8"/>
              <w:rPr>
                <w:rFonts w:asciiTheme="majorHAnsi" w:hAnsiTheme="majorHAnsi" w:cstheme="majorHAnsi"/>
                <w:b/>
                <w:bCs/>
                <w:sz w:val="20"/>
                <w:szCs w:val="20"/>
                <w:lang w:val="fr-FR"/>
              </w:rPr>
            </w:pPr>
            <w:r w:rsidRPr="00975629">
              <w:rPr>
                <w:rFonts w:asciiTheme="majorHAnsi" w:hAnsiTheme="majorHAnsi" w:cstheme="majorHAnsi"/>
                <w:b/>
                <w:bCs/>
                <w:sz w:val="20"/>
                <w:szCs w:val="20"/>
                <w:lang w:val="fr-FR"/>
              </w:rPr>
              <w:lastRenderedPageBreak/>
              <w:t>Quels sont les group</w:t>
            </w:r>
            <w:r>
              <w:rPr>
                <w:rFonts w:asciiTheme="majorHAnsi" w:hAnsiTheme="majorHAnsi" w:cstheme="majorHAnsi"/>
                <w:b/>
                <w:bCs/>
                <w:sz w:val="20"/>
                <w:szCs w:val="20"/>
                <w:lang w:val="fr-FR"/>
              </w:rPr>
              <w:t xml:space="preserve">es les plus à risque nécessitant une surveillance rapprochée ? </w:t>
            </w:r>
          </w:p>
          <w:p w14:paraId="291D7290" w14:textId="7EF692D6" w:rsidR="00DC460D" w:rsidRPr="00975629" w:rsidRDefault="00DC460D" w:rsidP="00DC460D">
            <w:pPr>
              <w:spacing w:before="8" w:after="8"/>
              <w:rPr>
                <w:rFonts w:asciiTheme="majorHAnsi" w:hAnsiTheme="majorHAnsi" w:cstheme="majorHAnsi"/>
                <w:sz w:val="20"/>
                <w:szCs w:val="20"/>
                <w:lang w:val="fr-FR"/>
              </w:rPr>
            </w:pPr>
            <w:r w:rsidRPr="00975629">
              <w:rPr>
                <w:rFonts w:asciiTheme="majorHAnsi" w:hAnsiTheme="majorHAnsi" w:cstheme="majorHAnsi"/>
                <w:sz w:val="20"/>
                <w:szCs w:val="20"/>
                <w:lang w:val="fr-FR"/>
              </w:rPr>
              <w:t>[</w:t>
            </w:r>
            <w:hyperlink r:id="rId26" w:history="1">
              <w:r w:rsidRPr="00975629">
                <w:rPr>
                  <w:rStyle w:val="Lienhypertexte"/>
                  <w:rFonts w:asciiTheme="majorHAnsi" w:hAnsiTheme="majorHAnsi" w:cstheme="majorHAnsi"/>
                  <w:sz w:val="20"/>
                  <w:szCs w:val="20"/>
                  <w:lang w:val="fr-FR"/>
                </w:rPr>
                <w:t>li</w:t>
              </w:r>
              <w:r w:rsidR="00975629">
                <w:rPr>
                  <w:rStyle w:val="Lienhypertexte"/>
                  <w:rFonts w:asciiTheme="majorHAnsi" w:hAnsiTheme="majorHAnsi" w:cstheme="majorHAnsi"/>
                  <w:sz w:val="20"/>
                  <w:szCs w:val="20"/>
                  <w:lang w:val="fr-FR"/>
                </w:rPr>
                <w:t>en</w:t>
              </w:r>
              <w:r w:rsidRPr="00975629">
                <w:rPr>
                  <w:rStyle w:val="Lienhypertexte"/>
                  <w:rFonts w:asciiTheme="majorHAnsi" w:hAnsiTheme="majorHAnsi" w:cstheme="majorHAnsi"/>
                  <w:sz w:val="20"/>
                  <w:szCs w:val="20"/>
                  <w:lang w:val="fr-FR"/>
                </w:rPr>
                <w:t>2</w:t>
              </w:r>
            </w:hyperlink>
            <w:r w:rsidRPr="00975629">
              <w:rPr>
                <w:rFonts w:asciiTheme="majorHAnsi" w:hAnsiTheme="majorHAnsi" w:cstheme="majorHAnsi"/>
                <w:sz w:val="20"/>
                <w:szCs w:val="20"/>
                <w:lang w:val="fr-FR"/>
              </w:rPr>
              <w:t>]</w:t>
            </w:r>
          </w:p>
          <w:p w14:paraId="0ACA3F3F" w14:textId="144DB3BB" w:rsidR="004D380F" w:rsidRDefault="004D380F" w:rsidP="00B04713">
            <w:pPr>
              <w:spacing w:before="8" w:after="8"/>
              <w:rPr>
                <w:rFonts w:asciiTheme="majorHAnsi" w:hAnsiTheme="majorHAnsi" w:cstheme="majorHAnsi"/>
                <w:sz w:val="20"/>
                <w:szCs w:val="20"/>
              </w:rPr>
            </w:pPr>
            <w:r>
              <w:rPr>
                <w:rFonts w:asciiTheme="majorHAnsi" w:hAnsiTheme="majorHAnsi" w:cstheme="majorHAnsi"/>
                <w:sz w:val="20"/>
                <w:szCs w:val="20"/>
              </w:rPr>
              <w:t>[</w:t>
            </w:r>
            <w:hyperlink r:id="rId27" w:history="1">
              <w:r w:rsidRPr="004D380F">
                <w:rPr>
                  <w:rStyle w:val="Lienhypertexte"/>
                  <w:rFonts w:asciiTheme="majorHAnsi" w:hAnsiTheme="majorHAnsi" w:cstheme="majorHAnsi"/>
                  <w:sz w:val="20"/>
                  <w:szCs w:val="20"/>
                </w:rPr>
                <w:t>li</w:t>
              </w:r>
              <w:r w:rsidR="00975629">
                <w:rPr>
                  <w:rStyle w:val="Lienhypertexte"/>
                  <w:rFonts w:asciiTheme="majorHAnsi" w:hAnsiTheme="majorHAnsi" w:cstheme="majorHAnsi"/>
                  <w:sz w:val="20"/>
                  <w:szCs w:val="20"/>
                </w:rPr>
                <w:t>en</w:t>
              </w:r>
              <w:r w:rsidRPr="004D380F">
                <w:rPr>
                  <w:rStyle w:val="Lienhypertexte"/>
                  <w:rFonts w:asciiTheme="majorHAnsi" w:hAnsiTheme="majorHAnsi" w:cstheme="majorHAnsi"/>
                  <w:sz w:val="20"/>
                  <w:szCs w:val="20"/>
                </w:rPr>
                <w:t>4</w:t>
              </w:r>
            </w:hyperlink>
            <w:r>
              <w:rPr>
                <w:rFonts w:asciiTheme="majorHAnsi" w:hAnsiTheme="majorHAnsi" w:cstheme="majorHAnsi"/>
                <w:sz w:val="20"/>
                <w:szCs w:val="20"/>
              </w:rPr>
              <w:t>]</w:t>
            </w:r>
          </w:p>
          <w:p w14:paraId="2354126F" w14:textId="77777777" w:rsidR="00DC460D" w:rsidRDefault="00DC460D" w:rsidP="00B04713">
            <w:pPr>
              <w:spacing w:before="8" w:after="8"/>
              <w:rPr>
                <w:rFonts w:asciiTheme="majorHAnsi" w:hAnsiTheme="majorHAnsi" w:cstheme="majorHAnsi"/>
                <w:sz w:val="20"/>
                <w:szCs w:val="20"/>
              </w:rPr>
            </w:pPr>
            <w:r w:rsidRPr="00DC460D">
              <w:rPr>
                <w:rFonts w:asciiTheme="majorHAnsi" w:hAnsiTheme="majorHAnsi" w:cstheme="majorHAnsi"/>
                <w:sz w:val="20"/>
                <w:szCs w:val="20"/>
              </w:rPr>
              <w:t>[</w:t>
            </w:r>
            <w:hyperlink r:id="rId28" w:history="1">
              <w:r w:rsidRPr="00DC460D">
                <w:rPr>
                  <w:rStyle w:val="Lienhypertexte"/>
                  <w:rFonts w:asciiTheme="majorHAnsi" w:hAnsiTheme="majorHAnsi" w:cstheme="majorHAnsi"/>
                  <w:sz w:val="20"/>
                  <w:szCs w:val="20"/>
                </w:rPr>
                <w:t>li</w:t>
              </w:r>
              <w:r w:rsidR="00975629">
                <w:rPr>
                  <w:rStyle w:val="Lienhypertexte"/>
                  <w:rFonts w:asciiTheme="majorHAnsi" w:hAnsiTheme="majorHAnsi" w:cstheme="majorHAnsi"/>
                  <w:sz w:val="20"/>
                  <w:szCs w:val="20"/>
                </w:rPr>
                <w:t>en</w:t>
              </w:r>
              <w:r w:rsidRPr="00DC460D">
                <w:rPr>
                  <w:rStyle w:val="Lienhypertexte"/>
                  <w:rFonts w:asciiTheme="majorHAnsi" w:hAnsiTheme="majorHAnsi" w:cstheme="majorHAnsi"/>
                  <w:sz w:val="20"/>
                  <w:szCs w:val="20"/>
                </w:rPr>
                <w:t>5</w:t>
              </w:r>
            </w:hyperlink>
            <w:r w:rsidRPr="00DC460D">
              <w:rPr>
                <w:rFonts w:asciiTheme="majorHAnsi" w:hAnsiTheme="majorHAnsi" w:cstheme="majorHAnsi"/>
                <w:sz w:val="20"/>
                <w:szCs w:val="20"/>
              </w:rPr>
              <w:t>]</w:t>
            </w:r>
          </w:p>
          <w:p w14:paraId="3CF9989F" w14:textId="6B53EE8F" w:rsidR="00EE2623" w:rsidRPr="00DC460D" w:rsidRDefault="00EE2623" w:rsidP="00B04713">
            <w:pPr>
              <w:spacing w:before="8" w:after="8"/>
              <w:rPr>
                <w:rFonts w:asciiTheme="majorHAnsi" w:hAnsiTheme="majorHAnsi" w:cstheme="majorHAnsi"/>
                <w:sz w:val="20"/>
                <w:szCs w:val="20"/>
              </w:rPr>
            </w:pPr>
            <w:r>
              <w:rPr>
                <w:rStyle w:val="Lienhypertexte"/>
              </w:rPr>
              <w:t xml:space="preserve">Lien </w:t>
            </w:r>
            <w:hyperlink r:id="rId29" w:history="1">
              <w:proofErr w:type="spellStart"/>
              <w:r w:rsidRPr="00EE2623">
                <w:rPr>
                  <w:rStyle w:val="Lienhypertexte"/>
                </w:rPr>
                <w:t>supplémentaire</w:t>
              </w:r>
              <w:proofErr w:type="spellEnd"/>
            </w:hyperlink>
          </w:p>
        </w:tc>
        <w:tc>
          <w:tcPr>
            <w:tcW w:w="3852" w:type="pct"/>
            <w:tcBorders>
              <w:top w:val="nil"/>
              <w:left w:val="nil"/>
              <w:bottom w:val="nil"/>
              <w:right w:val="single" w:sz="48" w:space="0" w:color="E2F2FF"/>
            </w:tcBorders>
          </w:tcPr>
          <w:p w14:paraId="00F0BE46" w14:textId="388218DE" w:rsidR="00DC460D" w:rsidRPr="00D2565A" w:rsidRDefault="00D2565A" w:rsidP="003E660E">
            <w:pPr>
              <w:spacing w:before="8" w:after="8" w:line="233" w:lineRule="auto"/>
              <w:rPr>
                <w:rFonts w:asciiTheme="majorHAnsi" w:hAnsiTheme="majorHAnsi" w:cstheme="majorHAnsi"/>
                <w:sz w:val="20"/>
                <w:szCs w:val="20"/>
                <w:lang w:val="fr-FR"/>
              </w:rPr>
            </w:pPr>
            <w:r w:rsidRPr="00D2565A">
              <w:rPr>
                <w:rFonts w:asciiTheme="majorHAnsi" w:hAnsiTheme="majorHAnsi" w:cstheme="majorHAnsi"/>
                <w:b/>
                <w:bCs/>
                <w:sz w:val="20"/>
                <w:szCs w:val="20"/>
                <w:lang w:val="fr-FR"/>
              </w:rPr>
              <w:t>L</w:t>
            </w:r>
            <w:r w:rsidRPr="00D2565A">
              <w:rPr>
                <w:b/>
                <w:bCs/>
                <w:lang w:val="fr-FR"/>
              </w:rPr>
              <w:t xml:space="preserve">es </w:t>
            </w:r>
            <w:r>
              <w:rPr>
                <w:b/>
                <w:bCs/>
                <w:lang w:val="fr-FR"/>
              </w:rPr>
              <w:t>groupes</w:t>
            </w:r>
            <w:r w:rsidRPr="00D2565A">
              <w:rPr>
                <w:b/>
                <w:bCs/>
                <w:lang w:val="fr-FR"/>
              </w:rPr>
              <w:t xml:space="preserve"> à risque pour le</w:t>
            </w:r>
            <w:r>
              <w:rPr>
                <w:b/>
                <w:bCs/>
                <w:lang w:val="fr-FR"/>
              </w:rPr>
              <w:t>s</w:t>
            </w:r>
            <w:r w:rsidRPr="00D2565A">
              <w:rPr>
                <w:b/>
                <w:bCs/>
                <w:lang w:val="fr-FR"/>
              </w:rPr>
              <w:t>que</w:t>
            </w:r>
            <w:r>
              <w:rPr>
                <w:b/>
                <w:bCs/>
                <w:lang w:val="fr-FR"/>
              </w:rPr>
              <w:t>l</w:t>
            </w:r>
            <w:r w:rsidRPr="00D2565A">
              <w:rPr>
                <w:b/>
                <w:bCs/>
                <w:lang w:val="fr-FR"/>
              </w:rPr>
              <w:t>s une surveillance de la li</w:t>
            </w:r>
            <w:r>
              <w:rPr>
                <w:b/>
                <w:bCs/>
                <w:lang w:val="fr-FR"/>
              </w:rPr>
              <w:t xml:space="preserve">thémie 3 fois par mois est recommandée au Royaume Uni </w:t>
            </w:r>
            <w:r w:rsidR="00471618">
              <w:rPr>
                <w:b/>
                <w:bCs/>
                <w:lang w:val="fr-FR"/>
              </w:rPr>
              <w:t xml:space="preserve">(les recommandations HAS ne sont pas aussi précises et le rythme de surveillance est laissé à l’appréciation du clinicien) </w:t>
            </w:r>
            <w:r>
              <w:rPr>
                <w:b/>
                <w:bCs/>
                <w:lang w:val="fr-FR"/>
              </w:rPr>
              <w:t xml:space="preserve">sont : </w:t>
            </w:r>
          </w:p>
          <w:p w14:paraId="2EC0443E" w14:textId="436D2921" w:rsidR="00DC460D" w:rsidRPr="00DC460D" w:rsidRDefault="00D2565A" w:rsidP="003E660E">
            <w:pPr>
              <w:numPr>
                <w:ilvl w:val="1"/>
                <w:numId w:val="7"/>
              </w:numPr>
              <w:spacing w:before="8" w:after="8" w:line="233" w:lineRule="auto"/>
              <w:rPr>
                <w:rFonts w:asciiTheme="majorHAnsi" w:hAnsiTheme="majorHAnsi" w:cstheme="majorHAnsi"/>
                <w:sz w:val="20"/>
                <w:szCs w:val="20"/>
              </w:rPr>
            </w:pPr>
            <w:r>
              <w:rPr>
                <w:rFonts w:asciiTheme="majorHAnsi" w:hAnsiTheme="majorHAnsi" w:cstheme="majorHAnsi"/>
                <w:sz w:val="20"/>
                <w:szCs w:val="20"/>
              </w:rPr>
              <w:t xml:space="preserve">Les </w:t>
            </w:r>
            <w:proofErr w:type="spellStart"/>
            <w:r>
              <w:rPr>
                <w:rFonts w:asciiTheme="majorHAnsi" w:hAnsiTheme="majorHAnsi" w:cstheme="majorHAnsi"/>
                <w:sz w:val="20"/>
                <w:szCs w:val="20"/>
              </w:rPr>
              <w:t>personnes</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âgées</w:t>
            </w:r>
            <w:proofErr w:type="spellEnd"/>
          </w:p>
          <w:p w14:paraId="2106DCF0" w14:textId="712B6FFE" w:rsidR="00DC460D" w:rsidRPr="00D2565A" w:rsidRDefault="00D2565A" w:rsidP="003E660E">
            <w:pPr>
              <w:numPr>
                <w:ilvl w:val="1"/>
                <w:numId w:val="7"/>
              </w:numPr>
              <w:spacing w:before="8" w:after="8" w:line="233" w:lineRule="auto"/>
              <w:rPr>
                <w:rFonts w:asciiTheme="majorHAnsi" w:hAnsiTheme="majorHAnsi" w:cstheme="majorHAnsi"/>
                <w:sz w:val="20"/>
                <w:szCs w:val="20"/>
                <w:lang w:val="fr-FR"/>
              </w:rPr>
            </w:pPr>
            <w:r w:rsidRPr="00D2565A">
              <w:rPr>
                <w:rFonts w:asciiTheme="majorHAnsi" w:hAnsiTheme="majorHAnsi" w:cstheme="majorHAnsi"/>
                <w:sz w:val="20"/>
                <w:szCs w:val="20"/>
                <w:lang w:val="fr-FR"/>
              </w:rPr>
              <w:t xml:space="preserve">Les </w:t>
            </w:r>
            <w:proofErr w:type="spellStart"/>
            <w:r w:rsidRPr="00D2565A">
              <w:rPr>
                <w:rFonts w:asciiTheme="majorHAnsi" w:hAnsiTheme="majorHAnsi" w:cstheme="majorHAnsi"/>
                <w:sz w:val="20"/>
                <w:szCs w:val="20"/>
                <w:lang w:val="fr-FR"/>
              </w:rPr>
              <w:t>coprescriptions</w:t>
            </w:r>
            <w:proofErr w:type="spellEnd"/>
            <w:r w:rsidRPr="00D2565A">
              <w:rPr>
                <w:rFonts w:asciiTheme="majorHAnsi" w:hAnsiTheme="majorHAnsi" w:cstheme="majorHAnsi"/>
                <w:sz w:val="20"/>
                <w:szCs w:val="20"/>
                <w:lang w:val="fr-FR"/>
              </w:rPr>
              <w:t xml:space="preserve"> d’AINS, d’inhibiteurs de l’enzyme de con</w:t>
            </w:r>
            <w:r>
              <w:rPr>
                <w:rFonts w:asciiTheme="majorHAnsi" w:hAnsiTheme="majorHAnsi" w:cstheme="majorHAnsi"/>
                <w:sz w:val="20"/>
                <w:szCs w:val="20"/>
                <w:lang w:val="fr-FR"/>
              </w:rPr>
              <w:t xml:space="preserve">version, diurétiques, sartans, </w:t>
            </w:r>
            <w:proofErr w:type="spellStart"/>
            <w:r>
              <w:rPr>
                <w:rFonts w:asciiTheme="majorHAnsi" w:hAnsiTheme="majorHAnsi" w:cstheme="majorHAnsi"/>
                <w:sz w:val="20"/>
                <w:szCs w:val="20"/>
                <w:lang w:val="fr-FR"/>
              </w:rPr>
              <w:t>etc</w:t>
            </w:r>
            <w:proofErr w:type="spellEnd"/>
          </w:p>
          <w:p w14:paraId="1F569D12" w14:textId="48429D7C" w:rsidR="00DC460D" w:rsidRPr="00D2565A" w:rsidRDefault="00D2565A" w:rsidP="003E660E">
            <w:pPr>
              <w:numPr>
                <w:ilvl w:val="1"/>
                <w:numId w:val="7"/>
              </w:numPr>
              <w:spacing w:before="8" w:after="8" w:line="233" w:lineRule="auto"/>
              <w:rPr>
                <w:rFonts w:asciiTheme="majorHAnsi" w:hAnsiTheme="majorHAnsi" w:cstheme="majorHAnsi"/>
                <w:sz w:val="20"/>
                <w:szCs w:val="20"/>
                <w:lang w:val="fr-FR"/>
              </w:rPr>
            </w:pPr>
            <w:r w:rsidRPr="00D2565A">
              <w:rPr>
                <w:rFonts w:asciiTheme="majorHAnsi" w:hAnsiTheme="majorHAnsi" w:cstheme="majorHAnsi"/>
                <w:sz w:val="20"/>
                <w:szCs w:val="20"/>
                <w:lang w:val="fr-FR"/>
              </w:rPr>
              <w:t xml:space="preserve">Les maladies rénales chroniques </w:t>
            </w:r>
          </w:p>
          <w:p w14:paraId="58D48E5F" w14:textId="3EA07783" w:rsidR="00DC460D" w:rsidRPr="00DC460D" w:rsidRDefault="00D2565A" w:rsidP="003E660E">
            <w:pPr>
              <w:numPr>
                <w:ilvl w:val="1"/>
                <w:numId w:val="7"/>
              </w:numPr>
              <w:spacing w:before="8" w:after="8" w:line="233" w:lineRule="auto"/>
              <w:rPr>
                <w:rFonts w:asciiTheme="majorHAnsi" w:hAnsiTheme="majorHAnsi" w:cstheme="majorHAnsi"/>
                <w:sz w:val="20"/>
                <w:szCs w:val="20"/>
              </w:rPr>
            </w:pPr>
            <w:r>
              <w:rPr>
                <w:rFonts w:asciiTheme="majorHAnsi" w:hAnsiTheme="majorHAnsi" w:cstheme="majorHAnsi"/>
                <w:sz w:val="20"/>
                <w:szCs w:val="20"/>
              </w:rPr>
              <w:t xml:space="preserve">Les </w:t>
            </w:r>
            <w:proofErr w:type="spellStart"/>
            <w:r>
              <w:rPr>
                <w:rFonts w:asciiTheme="majorHAnsi" w:hAnsiTheme="majorHAnsi" w:cstheme="majorHAnsi"/>
                <w:sz w:val="20"/>
                <w:szCs w:val="20"/>
              </w:rPr>
              <w:t>dysfonctions</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thyroïdienne</w:t>
            </w:r>
            <w:proofErr w:type="spellEnd"/>
            <w:r>
              <w:rPr>
                <w:rFonts w:asciiTheme="majorHAnsi" w:hAnsiTheme="majorHAnsi" w:cstheme="majorHAnsi"/>
                <w:sz w:val="20"/>
                <w:szCs w:val="20"/>
              </w:rPr>
              <w:t xml:space="preserve"> </w:t>
            </w:r>
          </w:p>
          <w:p w14:paraId="6D66B800" w14:textId="7F1BAACA" w:rsidR="00DC460D" w:rsidRPr="00DC460D" w:rsidRDefault="00D2565A" w:rsidP="003E660E">
            <w:pPr>
              <w:numPr>
                <w:ilvl w:val="1"/>
                <w:numId w:val="7"/>
              </w:numPr>
              <w:spacing w:before="8" w:after="8" w:line="233" w:lineRule="auto"/>
              <w:rPr>
                <w:rFonts w:asciiTheme="majorHAnsi" w:hAnsiTheme="majorHAnsi" w:cstheme="majorHAnsi"/>
                <w:sz w:val="20"/>
                <w:szCs w:val="20"/>
              </w:rPr>
            </w:pPr>
            <w:r>
              <w:rPr>
                <w:rFonts w:asciiTheme="majorHAnsi" w:hAnsiTheme="majorHAnsi" w:cstheme="majorHAnsi"/>
                <w:sz w:val="20"/>
                <w:szCs w:val="20"/>
              </w:rPr>
              <w:t xml:space="preserve">Une </w:t>
            </w:r>
            <w:proofErr w:type="spellStart"/>
            <w:r>
              <w:rPr>
                <w:rFonts w:asciiTheme="majorHAnsi" w:hAnsiTheme="majorHAnsi" w:cstheme="majorHAnsi"/>
                <w:sz w:val="20"/>
                <w:szCs w:val="20"/>
              </w:rPr>
              <w:t>hypercalcémie</w:t>
            </w:r>
            <w:proofErr w:type="spellEnd"/>
          </w:p>
          <w:p w14:paraId="18ADC64C" w14:textId="2D15B1C9" w:rsidR="00DC460D" w:rsidRPr="00D2565A" w:rsidRDefault="006912B5" w:rsidP="003E660E">
            <w:pPr>
              <w:numPr>
                <w:ilvl w:val="1"/>
                <w:numId w:val="7"/>
              </w:numPr>
              <w:spacing w:before="8" w:after="8" w:line="233" w:lineRule="auto"/>
              <w:rPr>
                <w:rFonts w:asciiTheme="majorHAnsi" w:hAnsiTheme="majorHAnsi" w:cstheme="majorHAnsi"/>
                <w:sz w:val="20"/>
                <w:szCs w:val="20"/>
                <w:lang w:val="fr-FR"/>
              </w:rPr>
            </w:pPr>
            <w:r>
              <w:rPr>
                <w:rFonts w:asciiTheme="majorHAnsi" w:hAnsiTheme="majorHAnsi" w:cstheme="majorHAnsi"/>
                <w:sz w:val="20"/>
                <w:szCs w:val="20"/>
                <w:lang w:val="fr-FR"/>
              </w:rPr>
              <w:t xml:space="preserve">Des symptômes thymiques </w:t>
            </w:r>
            <w:r w:rsidR="00D2565A" w:rsidRPr="00D2565A">
              <w:rPr>
                <w:rFonts w:asciiTheme="majorHAnsi" w:hAnsiTheme="majorHAnsi" w:cstheme="majorHAnsi"/>
                <w:sz w:val="20"/>
                <w:szCs w:val="20"/>
                <w:lang w:val="fr-FR"/>
              </w:rPr>
              <w:t>mal s</w:t>
            </w:r>
            <w:r w:rsidR="00D2565A">
              <w:rPr>
                <w:rFonts w:asciiTheme="majorHAnsi" w:hAnsiTheme="majorHAnsi" w:cstheme="majorHAnsi"/>
                <w:sz w:val="20"/>
                <w:szCs w:val="20"/>
                <w:lang w:val="fr-FR"/>
              </w:rPr>
              <w:t>tabilisé</w:t>
            </w:r>
            <w:r>
              <w:rPr>
                <w:rFonts w:asciiTheme="majorHAnsi" w:hAnsiTheme="majorHAnsi" w:cstheme="majorHAnsi"/>
                <w:sz w:val="20"/>
                <w:szCs w:val="20"/>
                <w:lang w:val="fr-FR"/>
              </w:rPr>
              <w:t>s</w:t>
            </w:r>
          </w:p>
          <w:p w14:paraId="5D9D1378" w14:textId="0FCBA81A" w:rsidR="00DC460D" w:rsidRPr="00DC460D" w:rsidRDefault="00D2565A" w:rsidP="003E660E">
            <w:pPr>
              <w:numPr>
                <w:ilvl w:val="1"/>
                <w:numId w:val="7"/>
              </w:numPr>
              <w:spacing w:before="8" w:after="8" w:line="233" w:lineRule="auto"/>
              <w:rPr>
                <w:rFonts w:asciiTheme="majorHAnsi" w:hAnsiTheme="majorHAnsi" w:cstheme="majorHAnsi"/>
                <w:sz w:val="20"/>
                <w:szCs w:val="20"/>
              </w:rPr>
            </w:pPr>
            <w:r>
              <w:rPr>
                <w:rFonts w:asciiTheme="majorHAnsi" w:hAnsiTheme="majorHAnsi" w:cstheme="majorHAnsi"/>
                <w:sz w:val="20"/>
                <w:szCs w:val="20"/>
              </w:rPr>
              <w:t xml:space="preserve">Une </w:t>
            </w:r>
            <w:proofErr w:type="spellStart"/>
            <w:r>
              <w:rPr>
                <w:rFonts w:asciiTheme="majorHAnsi" w:hAnsiTheme="majorHAnsi" w:cstheme="majorHAnsi"/>
                <w:sz w:val="20"/>
                <w:szCs w:val="20"/>
              </w:rPr>
              <w:t>mauvaise</w:t>
            </w:r>
            <w:proofErr w:type="spellEnd"/>
            <w:r>
              <w:rPr>
                <w:rFonts w:asciiTheme="majorHAnsi" w:hAnsiTheme="majorHAnsi" w:cstheme="majorHAnsi"/>
                <w:sz w:val="20"/>
                <w:szCs w:val="20"/>
              </w:rPr>
              <w:t xml:space="preserve"> observance</w:t>
            </w:r>
          </w:p>
          <w:p w14:paraId="0C20D491" w14:textId="66097632" w:rsidR="00796C59" w:rsidRPr="00DC460D" w:rsidRDefault="00D2565A" w:rsidP="003E660E">
            <w:pPr>
              <w:numPr>
                <w:ilvl w:val="1"/>
                <w:numId w:val="7"/>
              </w:numPr>
              <w:spacing w:before="8" w:after="8" w:line="233" w:lineRule="auto"/>
              <w:rPr>
                <w:rFonts w:asciiTheme="majorHAnsi" w:hAnsiTheme="majorHAnsi" w:cstheme="majorHAnsi"/>
                <w:sz w:val="20"/>
                <w:szCs w:val="20"/>
              </w:rPr>
            </w:pPr>
            <w:r>
              <w:rPr>
                <w:rFonts w:asciiTheme="majorHAnsi" w:hAnsiTheme="majorHAnsi" w:cstheme="majorHAnsi"/>
                <w:sz w:val="20"/>
                <w:szCs w:val="20"/>
              </w:rPr>
              <w:t xml:space="preserve">Une </w:t>
            </w:r>
            <w:proofErr w:type="spellStart"/>
            <w:r>
              <w:rPr>
                <w:rFonts w:asciiTheme="majorHAnsi" w:hAnsiTheme="majorHAnsi" w:cstheme="majorHAnsi"/>
                <w:sz w:val="20"/>
                <w:szCs w:val="20"/>
              </w:rPr>
              <w:t>lithémie</w:t>
            </w:r>
            <w:proofErr w:type="spellEnd"/>
            <w:r w:rsidR="00DC460D" w:rsidRPr="00DC460D">
              <w:rPr>
                <w:rFonts w:asciiTheme="majorHAnsi" w:hAnsiTheme="majorHAnsi" w:cstheme="majorHAnsi"/>
                <w:sz w:val="20"/>
                <w:szCs w:val="20"/>
              </w:rPr>
              <w:t xml:space="preserve"> &gt; 0.8mmol/L</w:t>
            </w:r>
          </w:p>
          <w:p w14:paraId="4E60F08A" w14:textId="454F3E96" w:rsidR="00796C59" w:rsidRPr="00796C59" w:rsidRDefault="00796C59" w:rsidP="003E660E">
            <w:pPr>
              <w:spacing w:before="8" w:after="8" w:line="233" w:lineRule="auto"/>
              <w:rPr>
                <w:rFonts w:asciiTheme="majorHAnsi" w:hAnsiTheme="majorHAnsi" w:cstheme="majorHAnsi"/>
                <w:sz w:val="20"/>
                <w:szCs w:val="20"/>
              </w:rPr>
            </w:pPr>
          </w:p>
        </w:tc>
      </w:tr>
      <w:tr w:rsidR="00796C59" w:rsidRPr="00EE2623" w14:paraId="7FD23862" w14:textId="77777777" w:rsidTr="00796C59">
        <w:tc>
          <w:tcPr>
            <w:tcW w:w="1148" w:type="pct"/>
            <w:tcBorders>
              <w:top w:val="nil"/>
              <w:left w:val="single" w:sz="48" w:space="0" w:color="E2F2FF"/>
              <w:bottom w:val="nil"/>
              <w:right w:val="nil"/>
            </w:tcBorders>
            <w:shd w:val="clear" w:color="auto" w:fill="E0F2FF"/>
          </w:tcPr>
          <w:p w14:paraId="411860BF" w14:textId="1926BCEC" w:rsidR="005526DC" w:rsidRDefault="00D2565A" w:rsidP="00BD6F31">
            <w:pPr>
              <w:spacing w:before="8" w:after="8"/>
              <w:jc w:val="both"/>
              <w:rPr>
                <w:rFonts w:asciiTheme="majorHAnsi" w:hAnsiTheme="majorHAnsi" w:cstheme="majorHAnsi"/>
                <w:b/>
                <w:bCs/>
                <w:sz w:val="20"/>
                <w:szCs w:val="20"/>
                <w:lang w:val="fr-FR"/>
              </w:rPr>
            </w:pPr>
            <w:r>
              <w:rPr>
                <w:rFonts w:asciiTheme="majorHAnsi" w:hAnsiTheme="majorHAnsi" w:cstheme="majorHAnsi"/>
                <w:b/>
                <w:bCs/>
                <w:sz w:val="20"/>
                <w:szCs w:val="20"/>
                <w:lang w:val="fr-FR"/>
              </w:rPr>
              <w:t>Prise en charge des patients qui s’isolent</w:t>
            </w:r>
          </w:p>
          <w:p w14:paraId="6E568D96" w14:textId="77777777" w:rsidR="00DC460D" w:rsidRDefault="00DC460D" w:rsidP="00BD6F31">
            <w:pPr>
              <w:spacing w:before="8" w:after="8"/>
              <w:jc w:val="both"/>
              <w:rPr>
                <w:rFonts w:asciiTheme="majorHAnsi" w:hAnsiTheme="majorHAnsi" w:cstheme="majorHAnsi"/>
                <w:sz w:val="20"/>
                <w:szCs w:val="20"/>
              </w:rPr>
            </w:pPr>
            <w:r w:rsidRPr="00796C59">
              <w:rPr>
                <w:rFonts w:asciiTheme="majorHAnsi" w:hAnsiTheme="majorHAnsi" w:cstheme="majorHAnsi"/>
                <w:sz w:val="20"/>
                <w:szCs w:val="20"/>
              </w:rPr>
              <w:t>[</w:t>
            </w:r>
            <w:hyperlink r:id="rId30" w:history="1">
              <w:r w:rsidRPr="00796C59">
                <w:rPr>
                  <w:rStyle w:val="Lienhypertexte"/>
                  <w:rFonts w:asciiTheme="majorHAnsi" w:hAnsiTheme="majorHAnsi" w:cstheme="majorHAnsi"/>
                  <w:sz w:val="20"/>
                  <w:szCs w:val="20"/>
                </w:rPr>
                <w:t>link2</w:t>
              </w:r>
            </w:hyperlink>
            <w:r w:rsidRPr="00796C59">
              <w:rPr>
                <w:rFonts w:asciiTheme="majorHAnsi" w:hAnsiTheme="majorHAnsi" w:cstheme="majorHAnsi"/>
                <w:sz w:val="20"/>
                <w:szCs w:val="20"/>
              </w:rPr>
              <w:t>]</w:t>
            </w:r>
          </w:p>
          <w:p w14:paraId="6AF82629" w14:textId="0687240E" w:rsidR="00DC460D" w:rsidRDefault="004D380F" w:rsidP="00BD6F31">
            <w:pPr>
              <w:spacing w:before="8" w:after="8"/>
              <w:jc w:val="both"/>
              <w:rPr>
                <w:rFonts w:asciiTheme="majorHAnsi" w:hAnsiTheme="majorHAnsi" w:cstheme="majorHAnsi"/>
                <w:sz w:val="20"/>
                <w:szCs w:val="20"/>
              </w:rPr>
            </w:pPr>
            <w:r>
              <w:rPr>
                <w:rFonts w:asciiTheme="majorHAnsi" w:hAnsiTheme="majorHAnsi" w:cstheme="majorHAnsi"/>
                <w:sz w:val="20"/>
                <w:szCs w:val="20"/>
              </w:rPr>
              <w:t>[</w:t>
            </w:r>
            <w:hyperlink r:id="rId31" w:history="1">
              <w:r w:rsidRPr="004D380F">
                <w:rPr>
                  <w:rStyle w:val="Lienhypertexte"/>
                  <w:rFonts w:asciiTheme="majorHAnsi" w:hAnsiTheme="majorHAnsi" w:cstheme="majorHAnsi"/>
                  <w:sz w:val="20"/>
                  <w:szCs w:val="20"/>
                </w:rPr>
                <w:t>link4</w:t>
              </w:r>
            </w:hyperlink>
            <w:r>
              <w:rPr>
                <w:rFonts w:asciiTheme="majorHAnsi" w:hAnsiTheme="majorHAnsi" w:cstheme="majorHAnsi"/>
                <w:sz w:val="20"/>
                <w:szCs w:val="20"/>
              </w:rPr>
              <w:t>]</w:t>
            </w:r>
          </w:p>
          <w:p w14:paraId="2F89FE6D" w14:textId="0DF3D3AC" w:rsidR="00DC460D" w:rsidRPr="00796C59" w:rsidRDefault="00EE2623" w:rsidP="00BD6F31">
            <w:pPr>
              <w:spacing w:before="8" w:after="8"/>
              <w:jc w:val="both"/>
              <w:rPr>
                <w:rFonts w:asciiTheme="majorHAnsi" w:hAnsiTheme="majorHAnsi" w:cstheme="majorHAnsi"/>
                <w:b/>
                <w:bCs/>
                <w:sz w:val="20"/>
                <w:szCs w:val="20"/>
              </w:rPr>
            </w:pPr>
            <w:r>
              <w:rPr>
                <w:rStyle w:val="Lienhypertexte"/>
              </w:rPr>
              <w:t xml:space="preserve">Lien </w:t>
            </w:r>
            <w:hyperlink r:id="rId32" w:history="1">
              <w:proofErr w:type="spellStart"/>
              <w:r w:rsidRPr="00EE2623">
                <w:rPr>
                  <w:rStyle w:val="Lienhypertexte"/>
                </w:rPr>
                <w:t>supplémentaire</w:t>
              </w:r>
              <w:proofErr w:type="spellEnd"/>
            </w:hyperlink>
          </w:p>
        </w:tc>
        <w:tc>
          <w:tcPr>
            <w:tcW w:w="3852" w:type="pct"/>
            <w:tcBorders>
              <w:top w:val="nil"/>
              <w:left w:val="nil"/>
              <w:bottom w:val="nil"/>
              <w:right w:val="single" w:sz="48" w:space="0" w:color="E2F2FF"/>
            </w:tcBorders>
            <w:shd w:val="clear" w:color="auto" w:fill="E0F2FF"/>
          </w:tcPr>
          <w:p w14:paraId="7E8BE2AD" w14:textId="4DCDD6E2" w:rsidR="005526DC" w:rsidRDefault="00923F18" w:rsidP="00D2565A">
            <w:pPr>
              <w:pStyle w:val="Paragraphedeliste"/>
              <w:numPr>
                <w:ilvl w:val="0"/>
                <w:numId w:val="31"/>
              </w:numPr>
              <w:spacing w:before="8" w:after="8"/>
              <w:jc w:val="both"/>
              <w:rPr>
                <w:rFonts w:asciiTheme="majorHAnsi" w:hAnsiTheme="majorHAnsi" w:cstheme="majorHAnsi"/>
                <w:sz w:val="20"/>
                <w:szCs w:val="20"/>
                <w:lang w:val="fr-FR"/>
              </w:rPr>
            </w:pPr>
            <w:r w:rsidRPr="00923F18">
              <w:rPr>
                <w:rFonts w:asciiTheme="majorHAnsi" w:hAnsiTheme="majorHAnsi" w:cstheme="majorHAnsi"/>
                <w:b/>
                <w:bCs/>
                <w:sz w:val="20"/>
                <w:szCs w:val="20"/>
                <w:lang w:val="fr-FR"/>
              </w:rPr>
              <w:t>E</w:t>
            </w:r>
            <w:r w:rsidR="00BD6F31" w:rsidRPr="00A60541">
              <w:rPr>
                <w:rFonts w:asciiTheme="majorHAnsi" w:hAnsiTheme="majorHAnsi" w:cstheme="majorHAnsi"/>
                <w:b/>
                <w:bCs/>
                <w:sz w:val="20"/>
                <w:szCs w:val="20"/>
                <w:lang w:val="fr-FR"/>
              </w:rPr>
              <w:t xml:space="preserve">ncourager la poursuite </w:t>
            </w:r>
            <w:r w:rsidR="00A60541" w:rsidRPr="00A60541">
              <w:rPr>
                <w:rFonts w:asciiTheme="majorHAnsi" w:hAnsiTheme="majorHAnsi" w:cstheme="majorHAnsi"/>
                <w:b/>
                <w:bCs/>
                <w:sz w:val="20"/>
                <w:szCs w:val="20"/>
                <w:lang w:val="fr-FR"/>
              </w:rPr>
              <w:t>du</w:t>
            </w:r>
            <w:r w:rsidR="005526DC" w:rsidRPr="00A60541">
              <w:rPr>
                <w:rFonts w:asciiTheme="majorHAnsi" w:hAnsiTheme="majorHAnsi" w:cstheme="majorHAnsi"/>
                <w:b/>
                <w:bCs/>
                <w:sz w:val="20"/>
                <w:szCs w:val="20"/>
                <w:lang w:val="fr-FR"/>
              </w:rPr>
              <w:t xml:space="preserve"> lithium</w:t>
            </w:r>
            <w:r w:rsidR="005526DC" w:rsidRPr="00D2565A">
              <w:rPr>
                <w:rFonts w:asciiTheme="majorHAnsi" w:hAnsiTheme="majorHAnsi" w:cstheme="majorHAnsi"/>
                <w:sz w:val="20"/>
                <w:szCs w:val="20"/>
                <w:lang w:val="fr-FR"/>
              </w:rPr>
              <w:t>.</w:t>
            </w:r>
          </w:p>
          <w:p w14:paraId="6E590A24" w14:textId="77777777" w:rsidR="00D2565A" w:rsidRDefault="00D2565A" w:rsidP="00BD6F31">
            <w:pPr>
              <w:pStyle w:val="Paragraphedeliste"/>
              <w:numPr>
                <w:ilvl w:val="0"/>
                <w:numId w:val="31"/>
              </w:numPr>
              <w:spacing w:before="8" w:after="8"/>
              <w:jc w:val="both"/>
              <w:rPr>
                <w:rFonts w:asciiTheme="majorHAnsi" w:hAnsiTheme="majorHAnsi" w:cstheme="majorHAnsi"/>
                <w:sz w:val="20"/>
                <w:szCs w:val="20"/>
                <w:lang w:val="fr-FR"/>
              </w:rPr>
            </w:pPr>
            <w:r w:rsidRPr="00A60541">
              <w:rPr>
                <w:rFonts w:asciiTheme="majorHAnsi" w:hAnsiTheme="majorHAnsi" w:cstheme="majorHAnsi"/>
                <w:b/>
                <w:bCs/>
                <w:sz w:val="20"/>
                <w:szCs w:val="20"/>
                <w:lang w:val="fr-FR"/>
              </w:rPr>
              <w:t>Au cas par cas</w:t>
            </w:r>
            <w:r>
              <w:rPr>
                <w:rFonts w:asciiTheme="majorHAnsi" w:hAnsiTheme="majorHAnsi" w:cstheme="majorHAnsi"/>
                <w:sz w:val="20"/>
                <w:szCs w:val="20"/>
                <w:lang w:val="fr-FR"/>
              </w:rPr>
              <w:t xml:space="preserve">, la décision d’espacer la surveillance biologique peut être envisagée pour les patients stable sous lithium depuis plus d’un an et sans autre facteur de risque de surdosage. </w:t>
            </w:r>
          </w:p>
          <w:p w14:paraId="38A1FC43" w14:textId="4E6CAAFC" w:rsidR="005526DC" w:rsidRPr="00D2565A" w:rsidRDefault="00923F18" w:rsidP="00D2565A">
            <w:pPr>
              <w:pStyle w:val="Paragraphedeliste"/>
              <w:numPr>
                <w:ilvl w:val="0"/>
                <w:numId w:val="31"/>
              </w:numPr>
              <w:spacing w:before="8" w:after="8" w:line="233" w:lineRule="auto"/>
              <w:jc w:val="both"/>
              <w:rPr>
                <w:rFonts w:asciiTheme="majorHAnsi" w:hAnsiTheme="majorHAnsi" w:cstheme="majorHAnsi"/>
                <w:sz w:val="20"/>
                <w:szCs w:val="20"/>
                <w:lang w:val="fr-FR"/>
              </w:rPr>
            </w:pPr>
            <w:r>
              <w:rPr>
                <w:rFonts w:asciiTheme="majorHAnsi" w:hAnsiTheme="majorHAnsi" w:cstheme="majorHAnsi"/>
                <w:sz w:val="20"/>
                <w:szCs w:val="20"/>
                <w:lang w:val="fr-FR"/>
              </w:rPr>
              <w:t>L</w:t>
            </w:r>
            <w:r w:rsidR="005526DC" w:rsidRPr="00D2565A">
              <w:rPr>
                <w:rFonts w:asciiTheme="majorHAnsi" w:hAnsiTheme="majorHAnsi" w:cstheme="majorHAnsi"/>
                <w:sz w:val="20"/>
                <w:szCs w:val="20"/>
                <w:lang w:val="fr-FR"/>
              </w:rPr>
              <w:t xml:space="preserve">es équipes des centres médico-psychologiques ou les psychiatries traitant en lien avec les CMP de secteur </w:t>
            </w:r>
            <w:r w:rsidR="00D2565A" w:rsidRPr="00D2565A">
              <w:rPr>
                <w:rFonts w:asciiTheme="majorHAnsi" w:hAnsiTheme="majorHAnsi" w:cstheme="majorHAnsi"/>
                <w:sz w:val="20"/>
                <w:szCs w:val="20"/>
                <w:lang w:val="fr-FR"/>
              </w:rPr>
              <w:t xml:space="preserve">sont en première ligne pour assurer le suivi de la tolérance du lithium, </w:t>
            </w:r>
            <w:r w:rsidR="00D2565A" w:rsidRPr="00A60541">
              <w:rPr>
                <w:rFonts w:asciiTheme="majorHAnsi" w:hAnsiTheme="majorHAnsi" w:cstheme="majorHAnsi"/>
                <w:b/>
                <w:bCs/>
                <w:sz w:val="20"/>
                <w:szCs w:val="20"/>
                <w:lang w:val="fr-FR"/>
              </w:rPr>
              <w:t>en particulier pour les personnes les plus à risque</w:t>
            </w:r>
            <w:r w:rsidR="005526DC" w:rsidRPr="00D2565A">
              <w:rPr>
                <w:rFonts w:asciiTheme="majorHAnsi" w:hAnsiTheme="majorHAnsi" w:cstheme="majorHAnsi"/>
                <w:sz w:val="20"/>
                <w:szCs w:val="20"/>
                <w:lang w:val="fr-FR"/>
              </w:rPr>
              <w:t xml:space="preserve">. Lorsque les patients refusent ou ne peuvent pas se rendre dans les laboratoires </w:t>
            </w:r>
            <w:r w:rsidR="00D2565A" w:rsidRPr="00D2565A">
              <w:rPr>
                <w:rFonts w:asciiTheme="majorHAnsi" w:hAnsiTheme="majorHAnsi" w:cstheme="majorHAnsi"/>
                <w:sz w:val="20"/>
                <w:szCs w:val="20"/>
                <w:lang w:val="fr-FR"/>
              </w:rPr>
              <w:t>de biologie médicale</w:t>
            </w:r>
            <w:r w:rsidR="005526DC" w:rsidRPr="00D2565A">
              <w:rPr>
                <w:rFonts w:asciiTheme="majorHAnsi" w:hAnsiTheme="majorHAnsi" w:cstheme="majorHAnsi"/>
                <w:sz w:val="20"/>
                <w:szCs w:val="20"/>
                <w:lang w:val="fr-FR"/>
              </w:rPr>
              <w:t xml:space="preserve">, </w:t>
            </w:r>
            <w:r w:rsidR="005526DC" w:rsidRPr="00A60541">
              <w:rPr>
                <w:rFonts w:asciiTheme="majorHAnsi" w:hAnsiTheme="majorHAnsi" w:cstheme="majorHAnsi"/>
                <w:b/>
                <w:bCs/>
                <w:sz w:val="20"/>
                <w:szCs w:val="20"/>
                <w:lang w:val="fr-FR"/>
              </w:rPr>
              <w:t xml:space="preserve">d'autres dispositions </w:t>
            </w:r>
            <w:r w:rsidR="00D2565A" w:rsidRPr="00A60541">
              <w:rPr>
                <w:rFonts w:asciiTheme="majorHAnsi" w:hAnsiTheme="majorHAnsi" w:cstheme="majorHAnsi"/>
                <w:b/>
                <w:bCs/>
                <w:sz w:val="20"/>
                <w:szCs w:val="20"/>
                <w:lang w:val="fr-FR"/>
              </w:rPr>
              <w:t>peuvent être envisagées</w:t>
            </w:r>
            <w:r w:rsidR="00D2565A" w:rsidRPr="00D2565A">
              <w:rPr>
                <w:rFonts w:asciiTheme="majorHAnsi" w:hAnsiTheme="majorHAnsi" w:cstheme="majorHAnsi"/>
                <w:sz w:val="20"/>
                <w:szCs w:val="20"/>
                <w:lang w:val="fr-FR"/>
              </w:rPr>
              <w:t xml:space="preserve"> comme</w:t>
            </w:r>
            <w:r w:rsidR="005526DC" w:rsidRPr="00D2565A">
              <w:rPr>
                <w:rFonts w:asciiTheme="majorHAnsi" w:hAnsiTheme="majorHAnsi" w:cstheme="majorHAnsi"/>
                <w:sz w:val="20"/>
                <w:szCs w:val="20"/>
                <w:lang w:val="fr-FR"/>
              </w:rPr>
              <w:t xml:space="preserve"> des visites à domicile </w:t>
            </w:r>
            <w:r w:rsidR="00262AEE">
              <w:rPr>
                <w:rFonts w:asciiTheme="majorHAnsi" w:hAnsiTheme="majorHAnsi" w:cstheme="majorHAnsi"/>
                <w:sz w:val="20"/>
                <w:szCs w:val="20"/>
                <w:lang w:val="fr-FR"/>
              </w:rPr>
              <w:t>avec un prélèvement sur place</w:t>
            </w:r>
            <w:r w:rsidR="005526DC" w:rsidRPr="00D2565A">
              <w:rPr>
                <w:rFonts w:asciiTheme="majorHAnsi" w:hAnsiTheme="majorHAnsi" w:cstheme="majorHAnsi"/>
                <w:sz w:val="20"/>
                <w:szCs w:val="20"/>
                <w:lang w:val="fr-FR"/>
              </w:rPr>
              <w:t>.</w:t>
            </w:r>
          </w:p>
          <w:p w14:paraId="241B2B04" w14:textId="227EBEFC" w:rsidR="00DC460D" w:rsidRPr="00D2565A" w:rsidRDefault="00D2565A" w:rsidP="00BD6F31">
            <w:pPr>
              <w:numPr>
                <w:ilvl w:val="0"/>
                <w:numId w:val="10"/>
              </w:numPr>
              <w:spacing w:before="8" w:after="8" w:line="233" w:lineRule="auto"/>
              <w:jc w:val="both"/>
              <w:rPr>
                <w:rFonts w:asciiTheme="majorHAnsi" w:hAnsiTheme="majorHAnsi" w:cstheme="majorHAnsi"/>
                <w:sz w:val="20"/>
                <w:szCs w:val="20"/>
                <w:lang w:val="fr-FR"/>
              </w:rPr>
            </w:pPr>
            <w:r w:rsidRPr="00A60541">
              <w:rPr>
                <w:rFonts w:asciiTheme="majorHAnsi" w:hAnsiTheme="majorHAnsi" w:cstheme="majorHAnsi"/>
                <w:sz w:val="20"/>
                <w:szCs w:val="20"/>
                <w:lang w:val="fr-FR"/>
              </w:rPr>
              <w:t>Dans</w:t>
            </w:r>
            <w:r w:rsidRPr="00D2565A">
              <w:rPr>
                <w:rFonts w:asciiTheme="majorHAnsi" w:hAnsiTheme="majorHAnsi" w:cstheme="majorHAnsi"/>
                <w:b/>
                <w:bCs/>
                <w:sz w:val="20"/>
                <w:szCs w:val="20"/>
                <w:lang w:val="fr-FR"/>
              </w:rPr>
              <w:t xml:space="preserve"> de rares cas </w:t>
            </w:r>
            <w:r w:rsidRPr="00A60541">
              <w:rPr>
                <w:rFonts w:asciiTheme="majorHAnsi" w:hAnsiTheme="majorHAnsi" w:cstheme="majorHAnsi"/>
                <w:sz w:val="20"/>
                <w:szCs w:val="20"/>
                <w:lang w:val="fr-FR"/>
              </w:rPr>
              <w:t>où la balance risqu</w:t>
            </w:r>
            <w:r w:rsidR="00A60541" w:rsidRPr="00A60541">
              <w:rPr>
                <w:rFonts w:asciiTheme="majorHAnsi" w:hAnsiTheme="majorHAnsi" w:cstheme="majorHAnsi"/>
                <w:sz w:val="20"/>
                <w:szCs w:val="20"/>
                <w:lang w:val="fr-FR"/>
              </w:rPr>
              <w:t>e</w:t>
            </w:r>
            <w:r w:rsidRPr="00A60541">
              <w:rPr>
                <w:rFonts w:asciiTheme="majorHAnsi" w:hAnsiTheme="majorHAnsi" w:cstheme="majorHAnsi"/>
                <w:sz w:val="20"/>
                <w:szCs w:val="20"/>
                <w:lang w:val="fr-FR"/>
              </w:rPr>
              <w:t>/</w:t>
            </w:r>
            <w:r w:rsidR="00A60541" w:rsidRPr="00A60541">
              <w:rPr>
                <w:rFonts w:asciiTheme="majorHAnsi" w:hAnsiTheme="majorHAnsi" w:cstheme="majorHAnsi"/>
                <w:sz w:val="20"/>
                <w:szCs w:val="20"/>
                <w:lang w:val="fr-FR"/>
              </w:rPr>
              <w:t>bénéfice</w:t>
            </w:r>
            <w:r w:rsidRPr="00A60541">
              <w:rPr>
                <w:rFonts w:asciiTheme="majorHAnsi" w:hAnsiTheme="majorHAnsi" w:cstheme="majorHAnsi"/>
                <w:sz w:val="20"/>
                <w:szCs w:val="20"/>
                <w:lang w:val="fr-FR"/>
              </w:rPr>
              <w:t xml:space="preserve"> du lithium serait défavorable à cause de l’impossibilité d’assurer le suivi de la tolérance sur de longues périodes</w:t>
            </w:r>
          </w:p>
          <w:p w14:paraId="414E0A46" w14:textId="6CADB1B6" w:rsidR="00DC460D" w:rsidRPr="00630C24" w:rsidRDefault="00A60541" w:rsidP="00630C24">
            <w:pPr>
              <w:numPr>
                <w:ilvl w:val="1"/>
                <w:numId w:val="8"/>
              </w:numPr>
              <w:spacing w:before="8" w:after="8" w:line="233" w:lineRule="auto"/>
              <w:jc w:val="both"/>
              <w:rPr>
                <w:rFonts w:asciiTheme="majorHAnsi" w:hAnsiTheme="majorHAnsi" w:cstheme="majorHAnsi"/>
                <w:sz w:val="20"/>
                <w:szCs w:val="20"/>
                <w:lang w:val="fr-FR"/>
              </w:rPr>
            </w:pPr>
            <w:r w:rsidRPr="00A60541">
              <w:rPr>
                <w:rFonts w:asciiTheme="majorHAnsi" w:hAnsiTheme="majorHAnsi" w:cstheme="majorHAnsi"/>
                <w:b/>
                <w:bCs/>
                <w:sz w:val="20"/>
                <w:szCs w:val="20"/>
                <w:lang w:val="fr-FR"/>
              </w:rPr>
              <w:t>Les alternatives thérapeutiques du lithium doivent être considérées</w:t>
            </w:r>
            <w:r w:rsidRPr="00630C24">
              <w:rPr>
                <w:rFonts w:asciiTheme="majorHAnsi" w:hAnsiTheme="majorHAnsi" w:cstheme="majorHAnsi"/>
                <w:b/>
                <w:bCs/>
                <w:sz w:val="20"/>
                <w:szCs w:val="20"/>
                <w:lang w:val="fr-FR"/>
              </w:rPr>
              <w:t xml:space="preserve"> </w:t>
            </w:r>
          </w:p>
          <w:p w14:paraId="5BF27729" w14:textId="28031267" w:rsidR="00796C59" w:rsidRPr="00A60541" w:rsidRDefault="00796C59" w:rsidP="00A60541">
            <w:pPr>
              <w:spacing w:before="8" w:after="8" w:line="233" w:lineRule="auto"/>
              <w:ind w:left="1440"/>
              <w:jc w:val="both"/>
              <w:rPr>
                <w:rFonts w:asciiTheme="majorHAnsi" w:hAnsiTheme="majorHAnsi" w:cstheme="majorHAnsi"/>
                <w:sz w:val="20"/>
                <w:szCs w:val="20"/>
                <w:lang w:val="fr-FR"/>
              </w:rPr>
            </w:pPr>
          </w:p>
        </w:tc>
      </w:tr>
      <w:tr w:rsidR="00B04713" w:rsidRPr="00EE2623" w14:paraId="531ABEF1" w14:textId="77777777" w:rsidTr="00D54077">
        <w:tc>
          <w:tcPr>
            <w:tcW w:w="1148" w:type="pct"/>
            <w:tcBorders>
              <w:top w:val="nil"/>
              <w:left w:val="single" w:sz="48" w:space="0" w:color="E2F2FF"/>
              <w:bottom w:val="nil"/>
              <w:right w:val="nil"/>
            </w:tcBorders>
          </w:tcPr>
          <w:p w14:paraId="4FB32F54" w14:textId="47687C3A" w:rsidR="00893B1E" w:rsidRPr="00B90067" w:rsidRDefault="00A60541" w:rsidP="00B04713">
            <w:pPr>
              <w:spacing w:before="8" w:after="8"/>
              <w:rPr>
                <w:rFonts w:asciiTheme="majorHAnsi" w:hAnsiTheme="majorHAnsi" w:cstheme="majorHAnsi"/>
                <w:b/>
                <w:bCs/>
                <w:sz w:val="20"/>
                <w:szCs w:val="20"/>
                <w:lang w:val="fr-FR"/>
              </w:rPr>
            </w:pPr>
            <w:r>
              <w:rPr>
                <w:rFonts w:asciiTheme="majorHAnsi" w:hAnsiTheme="majorHAnsi" w:cstheme="majorHAnsi"/>
                <w:b/>
                <w:bCs/>
                <w:sz w:val="20"/>
                <w:szCs w:val="20"/>
                <w:lang w:val="fr-FR"/>
              </w:rPr>
              <w:t>Prise en charge d’un patient sous lithium présentant des symptômes évocateurs de COVID 19</w:t>
            </w:r>
            <w:r w:rsidR="00681CB3">
              <w:rPr>
                <w:rFonts w:asciiTheme="majorHAnsi" w:hAnsiTheme="majorHAnsi" w:cstheme="majorHAnsi"/>
                <w:b/>
                <w:bCs/>
                <w:sz w:val="20"/>
                <w:szCs w:val="20"/>
                <w:lang w:val="fr-FR"/>
              </w:rPr>
              <w:t xml:space="preserve"> ou d’une infection de manière </w:t>
            </w:r>
            <w:r w:rsidR="00433ED1">
              <w:rPr>
                <w:rFonts w:asciiTheme="majorHAnsi" w:hAnsiTheme="majorHAnsi" w:cstheme="majorHAnsi"/>
                <w:b/>
                <w:bCs/>
                <w:sz w:val="20"/>
                <w:szCs w:val="20"/>
                <w:lang w:val="fr-FR"/>
              </w:rPr>
              <w:t>générale</w:t>
            </w:r>
          </w:p>
          <w:p w14:paraId="29C81B4F" w14:textId="77777777" w:rsidR="00893B1E" w:rsidRPr="00B90067" w:rsidRDefault="00893B1E" w:rsidP="00B04713">
            <w:pPr>
              <w:spacing w:before="8" w:after="8"/>
              <w:rPr>
                <w:rFonts w:asciiTheme="majorHAnsi" w:hAnsiTheme="majorHAnsi" w:cstheme="majorHAnsi"/>
                <w:b/>
                <w:bCs/>
                <w:sz w:val="20"/>
                <w:szCs w:val="20"/>
                <w:lang w:val="fr-FR"/>
              </w:rPr>
            </w:pPr>
          </w:p>
          <w:p w14:paraId="1333D4BB" w14:textId="77777777" w:rsidR="00DC460D" w:rsidRDefault="00DC460D" w:rsidP="00B04713">
            <w:pPr>
              <w:spacing w:before="8" w:after="8"/>
              <w:rPr>
                <w:rFonts w:asciiTheme="majorHAnsi" w:hAnsiTheme="majorHAnsi" w:cstheme="majorHAnsi"/>
                <w:sz w:val="20"/>
                <w:szCs w:val="20"/>
              </w:rPr>
            </w:pPr>
            <w:r w:rsidRPr="00796C59">
              <w:rPr>
                <w:rFonts w:asciiTheme="majorHAnsi" w:hAnsiTheme="majorHAnsi" w:cstheme="majorHAnsi"/>
                <w:sz w:val="20"/>
                <w:szCs w:val="20"/>
              </w:rPr>
              <w:t>[</w:t>
            </w:r>
            <w:hyperlink r:id="rId33" w:history="1">
              <w:r w:rsidRPr="00796C59">
                <w:rPr>
                  <w:rStyle w:val="Lienhypertexte"/>
                  <w:rFonts w:asciiTheme="majorHAnsi" w:hAnsiTheme="majorHAnsi" w:cstheme="majorHAnsi"/>
                  <w:sz w:val="20"/>
                  <w:szCs w:val="20"/>
                </w:rPr>
                <w:t>link1</w:t>
              </w:r>
            </w:hyperlink>
            <w:r w:rsidRPr="00796C59">
              <w:rPr>
                <w:rFonts w:asciiTheme="majorHAnsi" w:hAnsiTheme="majorHAnsi" w:cstheme="majorHAnsi"/>
                <w:sz w:val="20"/>
                <w:szCs w:val="20"/>
              </w:rPr>
              <w:t>]</w:t>
            </w:r>
          </w:p>
          <w:p w14:paraId="29488814" w14:textId="5CB0FEFA" w:rsidR="00DC460D" w:rsidRDefault="00DC460D" w:rsidP="00DC460D">
            <w:pPr>
              <w:spacing w:before="8" w:after="8"/>
              <w:rPr>
                <w:rFonts w:asciiTheme="majorHAnsi" w:hAnsiTheme="majorHAnsi" w:cstheme="majorHAnsi"/>
                <w:sz w:val="20"/>
                <w:szCs w:val="20"/>
              </w:rPr>
            </w:pPr>
            <w:r w:rsidRPr="00796C59">
              <w:rPr>
                <w:rFonts w:asciiTheme="majorHAnsi" w:hAnsiTheme="majorHAnsi" w:cstheme="majorHAnsi"/>
                <w:sz w:val="20"/>
                <w:szCs w:val="20"/>
              </w:rPr>
              <w:t>[</w:t>
            </w:r>
            <w:hyperlink r:id="rId34" w:history="1">
              <w:r w:rsidRPr="00796C59">
                <w:rPr>
                  <w:rStyle w:val="Lienhypertexte"/>
                  <w:rFonts w:asciiTheme="majorHAnsi" w:hAnsiTheme="majorHAnsi" w:cstheme="majorHAnsi"/>
                  <w:sz w:val="20"/>
                  <w:szCs w:val="20"/>
                </w:rPr>
                <w:t>link2</w:t>
              </w:r>
            </w:hyperlink>
            <w:r w:rsidRPr="00796C59">
              <w:rPr>
                <w:rFonts w:asciiTheme="majorHAnsi" w:hAnsiTheme="majorHAnsi" w:cstheme="majorHAnsi"/>
                <w:sz w:val="20"/>
                <w:szCs w:val="20"/>
              </w:rPr>
              <w:t>]</w:t>
            </w:r>
          </w:p>
          <w:p w14:paraId="1F928558" w14:textId="77777777" w:rsidR="00FB33A9" w:rsidRDefault="00FB33A9" w:rsidP="00FB33A9">
            <w:pPr>
              <w:spacing w:before="8" w:after="8"/>
              <w:rPr>
                <w:rFonts w:asciiTheme="majorHAnsi" w:hAnsiTheme="majorHAnsi" w:cstheme="majorHAnsi"/>
                <w:sz w:val="20"/>
                <w:szCs w:val="20"/>
              </w:rPr>
            </w:pPr>
            <w:r>
              <w:rPr>
                <w:rFonts w:asciiTheme="majorHAnsi" w:hAnsiTheme="majorHAnsi" w:cstheme="majorHAnsi"/>
                <w:sz w:val="20"/>
                <w:szCs w:val="20"/>
              </w:rPr>
              <w:t>[</w:t>
            </w:r>
            <w:hyperlink r:id="rId35" w:history="1">
              <w:r w:rsidRPr="00970923">
                <w:rPr>
                  <w:rStyle w:val="Lienhypertexte"/>
                  <w:rFonts w:asciiTheme="majorHAnsi" w:hAnsiTheme="majorHAnsi" w:cstheme="majorHAnsi"/>
                  <w:sz w:val="20"/>
                  <w:szCs w:val="20"/>
                </w:rPr>
                <w:t>link3</w:t>
              </w:r>
            </w:hyperlink>
            <w:r>
              <w:rPr>
                <w:rFonts w:asciiTheme="majorHAnsi" w:hAnsiTheme="majorHAnsi" w:cstheme="majorHAnsi"/>
                <w:sz w:val="20"/>
                <w:szCs w:val="20"/>
              </w:rPr>
              <w:t>]</w:t>
            </w:r>
          </w:p>
          <w:p w14:paraId="1C806B9C" w14:textId="77777777" w:rsidR="00DC460D" w:rsidRDefault="004D380F" w:rsidP="00B04713">
            <w:pPr>
              <w:spacing w:before="8" w:after="8"/>
              <w:rPr>
                <w:rFonts w:asciiTheme="majorHAnsi" w:hAnsiTheme="majorHAnsi" w:cstheme="majorHAnsi"/>
                <w:sz w:val="20"/>
                <w:szCs w:val="20"/>
              </w:rPr>
            </w:pPr>
            <w:r>
              <w:rPr>
                <w:rFonts w:asciiTheme="majorHAnsi" w:hAnsiTheme="majorHAnsi" w:cstheme="majorHAnsi"/>
                <w:sz w:val="20"/>
                <w:szCs w:val="20"/>
              </w:rPr>
              <w:t>[</w:t>
            </w:r>
            <w:hyperlink r:id="rId36" w:history="1">
              <w:r w:rsidRPr="004D380F">
                <w:rPr>
                  <w:rStyle w:val="Lienhypertexte"/>
                  <w:rFonts w:asciiTheme="majorHAnsi" w:hAnsiTheme="majorHAnsi" w:cstheme="majorHAnsi"/>
                  <w:sz w:val="20"/>
                  <w:szCs w:val="20"/>
                </w:rPr>
                <w:t>link4</w:t>
              </w:r>
            </w:hyperlink>
            <w:r>
              <w:rPr>
                <w:rFonts w:asciiTheme="majorHAnsi" w:hAnsiTheme="majorHAnsi" w:cstheme="majorHAnsi"/>
                <w:sz w:val="20"/>
                <w:szCs w:val="20"/>
              </w:rPr>
              <w:t>]</w:t>
            </w:r>
          </w:p>
          <w:p w14:paraId="6A12F055" w14:textId="53851381" w:rsidR="004D380F" w:rsidRPr="00617391" w:rsidRDefault="001F654E" w:rsidP="00B04713">
            <w:pPr>
              <w:spacing w:before="8" w:after="8"/>
              <w:rPr>
                <w:rFonts w:asciiTheme="majorHAnsi" w:hAnsiTheme="majorHAnsi" w:cstheme="majorHAnsi"/>
                <w:sz w:val="20"/>
                <w:szCs w:val="20"/>
              </w:rPr>
            </w:pPr>
            <w:hyperlink r:id="rId37" w:history="1">
              <w:r w:rsidR="00617391" w:rsidRPr="00617391">
                <w:rPr>
                  <w:rStyle w:val="Lienhypertexte"/>
                  <w:rFonts w:asciiTheme="majorHAnsi" w:hAnsiTheme="majorHAnsi" w:cstheme="majorHAnsi"/>
                  <w:sz w:val="20"/>
                  <w:szCs w:val="20"/>
                </w:rPr>
                <w:t>[lien supplémentaire</w:t>
              </w:r>
              <w:r w:rsidR="00617391">
                <w:rPr>
                  <w:rStyle w:val="Lienhypertexte"/>
                  <w:rFonts w:asciiTheme="majorHAnsi" w:hAnsiTheme="majorHAnsi" w:cstheme="majorHAnsi"/>
                  <w:sz w:val="20"/>
                  <w:szCs w:val="20"/>
                </w:rPr>
                <w:t>1</w:t>
              </w:r>
              <w:r w:rsidR="00617391" w:rsidRPr="00617391">
                <w:rPr>
                  <w:rStyle w:val="Lienhypertexte"/>
                  <w:rFonts w:asciiTheme="majorHAnsi" w:hAnsiTheme="majorHAnsi" w:cstheme="majorHAnsi"/>
                  <w:sz w:val="20"/>
                  <w:szCs w:val="20"/>
                </w:rPr>
                <w:t>]</w:t>
              </w:r>
            </w:hyperlink>
          </w:p>
        </w:tc>
        <w:tc>
          <w:tcPr>
            <w:tcW w:w="3852" w:type="pct"/>
            <w:tcBorders>
              <w:top w:val="nil"/>
              <w:left w:val="nil"/>
              <w:bottom w:val="nil"/>
              <w:right w:val="single" w:sz="48" w:space="0" w:color="E2F2FF"/>
            </w:tcBorders>
          </w:tcPr>
          <w:p w14:paraId="21681EDF" w14:textId="32094402" w:rsidR="00923F18" w:rsidRPr="003E21C8" w:rsidRDefault="00923F18" w:rsidP="003E21C8">
            <w:pPr>
              <w:pStyle w:val="Paragraphedeliste"/>
              <w:numPr>
                <w:ilvl w:val="0"/>
                <w:numId w:val="32"/>
              </w:numPr>
              <w:spacing w:before="8" w:after="8" w:line="233" w:lineRule="auto"/>
              <w:rPr>
                <w:rFonts w:asciiTheme="majorHAnsi" w:hAnsiTheme="majorHAnsi" w:cstheme="majorHAnsi"/>
                <w:sz w:val="20"/>
                <w:szCs w:val="20"/>
                <w:lang w:val="fr-FR"/>
              </w:rPr>
            </w:pPr>
            <w:r w:rsidRPr="003E21C8">
              <w:rPr>
                <w:rFonts w:asciiTheme="majorHAnsi" w:hAnsiTheme="majorHAnsi" w:cstheme="majorHAnsi"/>
                <w:sz w:val="20"/>
                <w:szCs w:val="20"/>
                <w:lang w:val="fr-FR"/>
              </w:rPr>
              <w:t>La lithémie doit guider l’adaptation thérapeutique</w:t>
            </w:r>
          </w:p>
          <w:p w14:paraId="12AF7215" w14:textId="69C05153" w:rsidR="00E20629" w:rsidRPr="003E21C8" w:rsidRDefault="00923F18" w:rsidP="003E21C8">
            <w:pPr>
              <w:pStyle w:val="Paragraphedeliste"/>
              <w:numPr>
                <w:ilvl w:val="0"/>
                <w:numId w:val="32"/>
              </w:numPr>
              <w:spacing w:before="8" w:after="8" w:line="233" w:lineRule="auto"/>
              <w:rPr>
                <w:rFonts w:asciiTheme="majorHAnsi" w:hAnsiTheme="majorHAnsi" w:cstheme="majorHAnsi"/>
                <w:sz w:val="20"/>
                <w:szCs w:val="20"/>
                <w:lang w:val="fr-FR"/>
              </w:rPr>
            </w:pPr>
            <w:r w:rsidRPr="003E21C8">
              <w:rPr>
                <w:rFonts w:asciiTheme="majorHAnsi" w:hAnsiTheme="majorHAnsi" w:cstheme="majorHAnsi"/>
                <w:sz w:val="20"/>
                <w:szCs w:val="20"/>
                <w:lang w:val="fr-FR"/>
              </w:rPr>
              <w:t xml:space="preserve">Les patients fébriles peuvent se déshydrater, </w:t>
            </w:r>
            <w:r w:rsidR="00681CB3">
              <w:rPr>
                <w:rFonts w:asciiTheme="majorHAnsi" w:hAnsiTheme="majorHAnsi" w:cstheme="majorHAnsi"/>
                <w:sz w:val="20"/>
                <w:szCs w:val="20"/>
                <w:lang w:val="fr-FR"/>
              </w:rPr>
              <w:t>a</w:t>
            </w:r>
            <w:r w:rsidRPr="003E21C8">
              <w:rPr>
                <w:rFonts w:asciiTheme="majorHAnsi" w:hAnsiTheme="majorHAnsi" w:cstheme="majorHAnsi"/>
                <w:sz w:val="20"/>
                <w:szCs w:val="20"/>
                <w:lang w:val="fr-FR"/>
              </w:rPr>
              <w:t xml:space="preserve">voir </w:t>
            </w:r>
            <w:r w:rsidR="00681CB3">
              <w:rPr>
                <w:rFonts w:asciiTheme="majorHAnsi" w:hAnsiTheme="majorHAnsi" w:cstheme="majorHAnsi"/>
                <w:sz w:val="20"/>
                <w:szCs w:val="20"/>
                <w:lang w:val="fr-FR"/>
              </w:rPr>
              <w:t>une</w:t>
            </w:r>
            <w:r w:rsidRPr="003E21C8">
              <w:rPr>
                <w:rFonts w:asciiTheme="majorHAnsi" w:hAnsiTheme="majorHAnsi" w:cstheme="majorHAnsi"/>
                <w:sz w:val="20"/>
                <w:szCs w:val="20"/>
                <w:lang w:val="fr-FR"/>
              </w:rPr>
              <w:t xml:space="preserve"> </w:t>
            </w:r>
            <w:r w:rsidR="00681CB3">
              <w:rPr>
                <w:rFonts w:asciiTheme="majorHAnsi" w:hAnsiTheme="majorHAnsi" w:cstheme="majorHAnsi"/>
                <w:sz w:val="20"/>
                <w:szCs w:val="20"/>
                <w:lang w:val="fr-FR"/>
              </w:rPr>
              <w:t xml:space="preserve">augmentation de la </w:t>
            </w:r>
            <w:r w:rsidRPr="003E21C8">
              <w:rPr>
                <w:rFonts w:asciiTheme="majorHAnsi" w:hAnsiTheme="majorHAnsi" w:cstheme="majorHAnsi"/>
                <w:sz w:val="20"/>
                <w:szCs w:val="20"/>
                <w:lang w:val="fr-FR"/>
              </w:rPr>
              <w:t xml:space="preserve">lithémie et ainsi être exposé à un risque toxique. IL faut donc rechercher les signes de toxicité du </w:t>
            </w:r>
            <w:proofErr w:type="gramStart"/>
            <w:r w:rsidR="003E21C8" w:rsidRPr="003E21C8">
              <w:rPr>
                <w:rFonts w:asciiTheme="majorHAnsi" w:hAnsiTheme="majorHAnsi" w:cstheme="majorHAnsi"/>
                <w:sz w:val="20"/>
                <w:szCs w:val="20"/>
                <w:lang w:val="fr-FR"/>
              </w:rPr>
              <w:t>lithium</w:t>
            </w:r>
            <w:r w:rsidR="00E20629" w:rsidRPr="003E21C8">
              <w:rPr>
                <w:rFonts w:asciiTheme="majorHAnsi" w:hAnsiTheme="majorHAnsi" w:cstheme="majorHAnsi"/>
                <w:sz w:val="20"/>
                <w:szCs w:val="20"/>
                <w:lang w:val="fr-FR"/>
              </w:rPr>
              <w:t>:</w:t>
            </w:r>
            <w:proofErr w:type="gramEnd"/>
            <w:r w:rsidR="00433ED1">
              <w:rPr>
                <w:rFonts w:asciiTheme="majorHAnsi" w:hAnsiTheme="majorHAnsi" w:cstheme="majorHAnsi"/>
                <w:sz w:val="20"/>
                <w:szCs w:val="20"/>
                <w:lang w:val="fr-FR"/>
              </w:rPr>
              <w:t xml:space="preserve"> </w:t>
            </w:r>
            <w:r w:rsidR="00433ED1" w:rsidRPr="003D31D0">
              <w:rPr>
                <w:rFonts w:asciiTheme="majorHAnsi" w:hAnsiTheme="majorHAnsi" w:cstheme="majorHAnsi"/>
                <w:sz w:val="20"/>
                <w:szCs w:val="20"/>
                <w:lang w:val="fr-FR"/>
              </w:rPr>
              <w:t xml:space="preserve">syndrome </w:t>
            </w:r>
            <w:proofErr w:type="spellStart"/>
            <w:r w:rsidR="00433ED1" w:rsidRPr="003D31D0">
              <w:rPr>
                <w:rFonts w:asciiTheme="majorHAnsi" w:hAnsiTheme="majorHAnsi" w:cstheme="majorHAnsi"/>
                <w:sz w:val="20"/>
                <w:szCs w:val="20"/>
                <w:lang w:val="fr-FR"/>
              </w:rPr>
              <w:t>cérebelleux</w:t>
            </w:r>
            <w:proofErr w:type="spellEnd"/>
            <w:r w:rsidR="00433ED1" w:rsidRPr="003D31D0">
              <w:rPr>
                <w:rFonts w:asciiTheme="majorHAnsi" w:hAnsiTheme="majorHAnsi" w:cstheme="majorHAnsi"/>
                <w:sz w:val="20"/>
                <w:szCs w:val="20"/>
                <w:lang w:val="fr-FR"/>
              </w:rPr>
              <w:t>,</w:t>
            </w:r>
            <w:r w:rsidR="00E20629" w:rsidRPr="003E21C8">
              <w:rPr>
                <w:rFonts w:asciiTheme="majorHAnsi" w:hAnsiTheme="majorHAnsi" w:cstheme="majorHAnsi"/>
                <w:sz w:val="20"/>
                <w:szCs w:val="20"/>
                <w:lang w:val="fr-FR"/>
              </w:rPr>
              <w:t xml:space="preserve"> </w:t>
            </w:r>
            <w:r w:rsidR="003E21C8" w:rsidRPr="003E21C8">
              <w:rPr>
                <w:rFonts w:asciiTheme="majorHAnsi" w:hAnsiTheme="majorHAnsi" w:cstheme="majorHAnsi"/>
                <w:sz w:val="20"/>
                <w:szCs w:val="20"/>
                <w:lang w:val="fr-FR"/>
              </w:rPr>
              <w:t>t</w:t>
            </w:r>
            <w:r w:rsidR="00457C30" w:rsidRPr="003E21C8">
              <w:rPr>
                <w:rFonts w:asciiTheme="majorHAnsi" w:hAnsiTheme="majorHAnsi" w:cstheme="majorHAnsi"/>
                <w:sz w:val="20"/>
                <w:szCs w:val="20"/>
                <w:lang w:val="fr-FR"/>
              </w:rPr>
              <w:t>r</w:t>
            </w:r>
            <w:r w:rsidR="00E20629" w:rsidRPr="003E21C8">
              <w:rPr>
                <w:rFonts w:asciiTheme="majorHAnsi" w:hAnsiTheme="majorHAnsi" w:cstheme="majorHAnsi"/>
                <w:sz w:val="20"/>
                <w:szCs w:val="20"/>
                <w:lang w:val="fr-FR"/>
              </w:rPr>
              <w:t xml:space="preserve">emblements, faiblesse </w:t>
            </w:r>
            <w:r w:rsidRPr="003E21C8">
              <w:rPr>
                <w:rFonts w:asciiTheme="majorHAnsi" w:hAnsiTheme="majorHAnsi" w:cstheme="majorHAnsi"/>
                <w:sz w:val="20"/>
                <w:szCs w:val="20"/>
                <w:lang w:val="fr-FR"/>
              </w:rPr>
              <w:t>musculaires ou myoclonie</w:t>
            </w:r>
            <w:r w:rsidR="00E20629" w:rsidRPr="003E21C8">
              <w:rPr>
                <w:rFonts w:asciiTheme="majorHAnsi" w:hAnsiTheme="majorHAnsi" w:cstheme="majorHAnsi"/>
                <w:sz w:val="20"/>
                <w:szCs w:val="20"/>
                <w:lang w:val="fr-FR"/>
              </w:rPr>
              <w:t xml:space="preserve">, </w:t>
            </w:r>
            <w:r w:rsidR="003E21C8" w:rsidRPr="003E21C8">
              <w:rPr>
                <w:rFonts w:asciiTheme="majorHAnsi" w:hAnsiTheme="majorHAnsi" w:cstheme="majorHAnsi"/>
                <w:sz w:val="20"/>
                <w:szCs w:val="20"/>
                <w:lang w:val="fr-FR"/>
              </w:rPr>
              <w:t>troubles digestifs</w:t>
            </w:r>
            <w:r w:rsidR="00E20629" w:rsidRPr="003E21C8">
              <w:rPr>
                <w:rFonts w:asciiTheme="majorHAnsi" w:hAnsiTheme="majorHAnsi" w:cstheme="majorHAnsi"/>
                <w:sz w:val="20"/>
                <w:szCs w:val="20"/>
                <w:lang w:val="fr-FR"/>
              </w:rPr>
              <w:t xml:space="preserve"> (diarrhée, vomissements</w:t>
            </w:r>
            <w:r w:rsidR="003E21C8" w:rsidRPr="003E21C8">
              <w:rPr>
                <w:rFonts w:asciiTheme="majorHAnsi" w:hAnsiTheme="majorHAnsi" w:cstheme="majorHAnsi"/>
                <w:sz w:val="20"/>
                <w:szCs w:val="20"/>
                <w:lang w:val="fr-FR"/>
              </w:rPr>
              <w:t>, douleurs abdominales</w:t>
            </w:r>
            <w:r w:rsidR="00E20629" w:rsidRPr="003E21C8">
              <w:rPr>
                <w:rFonts w:asciiTheme="majorHAnsi" w:hAnsiTheme="majorHAnsi" w:cstheme="majorHAnsi"/>
                <w:sz w:val="20"/>
                <w:szCs w:val="20"/>
                <w:lang w:val="fr-FR"/>
              </w:rPr>
              <w:t xml:space="preserve">), </w:t>
            </w:r>
            <w:r w:rsidR="003E21C8" w:rsidRPr="003E21C8">
              <w:rPr>
                <w:rFonts w:asciiTheme="majorHAnsi" w:hAnsiTheme="majorHAnsi" w:cstheme="majorHAnsi"/>
                <w:sz w:val="20"/>
                <w:szCs w:val="20"/>
                <w:lang w:val="fr-FR"/>
              </w:rPr>
              <w:t>troubles de l’équilibre</w:t>
            </w:r>
            <w:r w:rsidR="00E20629" w:rsidRPr="003E21C8">
              <w:rPr>
                <w:rFonts w:asciiTheme="majorHAnsi" w:hAnsiTheme="majorHAnsi" w:cstheme="majorHAnsi"/>
                <w:sz w:val="20"/>
                <w:szCs w:val="20"/>
                <w:lang w:val="fr-FR"/>
              </w:rPr>
              <w:t>, troubles de l'élocution, vision trouble, confusion.</w:t>
            </w:r>
            <w:r w:rsidR="00681CB3">
              <w:rPr>
                <w:rFonts w:asciiTheme="majorHAnsi" w:hAnsiTheme="majorHAnsi" w:cstheme="majorHAnsi"/>
                <w:sz w:val="20"/>
                <w:szCs w:val="20"/>
                <w:lang w:val="fr-FR"/>
              </w:rPr>
              <w:t xml:space="preserve"> </w:t>
            </w:r>
          </w:p>
          <w:p w14:paraId="692FBA67" w14:textId="670EEED0" w:rsidR="00422EE7" w:rsidRPr="00A46EF4" w:rsidRDefault="00422EE7" w:rsidP="003E660E">
            <w:pPr>
              <w:spacing w:before="8" w:after="8" w:line="233" w:lineRule="auto"/>
              <w:rPr>
                <w:rFonts w:asciiTheme="majorHAnsi" w:hAnsiTheme="majorHAnsi" w:cstheme="majorHAnsi"/>
                <w:b/>
                <w:bCs/>
                <w:sz w:val="20"/>
                <w:szCs w:val="20"/>
                <w:lang w:val="fr-FR"/>
              </w:rPr>
            </w:pPr>
          </w:p>
          <w:p w14:paraId="42EC82E5" w14:textId="298871E4" w:rsidR="00422EE7" w:rsidRPr="00AB733E" w:rsidRDefault="003E21C8" w:rsidP="003E660E">
            <w:pPr>
              <w:spacing w:before="8" w:after="8" w:line="233" w:lineRule="auto"/>
              <w:rPr>
                <w:rFonts w:asciiTheme="majorHAnsi" w:hAnsiTheme="majorHAnsi" w:cstheme="majorHAnsi"/>
                <w:b/>
                <w:bCs/>
                <w:sz w:val="20"/>
                <w:szCs w:val="20"/>
                <w:u w:val="single"/>
                <w:lang w:val="fr-FR"/>
              </w:rPr>
            </w:pPr>
            <w:r w:rsidRPr="00AB733E">
              <w:rPr>
                <w:rFonts w:asciiTheme="majorHAnsi" w:hAnsiTheme="majorHAnsi" w:cstheme="majorHAnsi"/>
                <w:b/>
                <w:bCs/>
                <w:sz w:val="20"/>
                <w:szCs w:val="20"/>
                <w:u w:val="single"/>
                <w:lang w:val="fr-FR"/>
              </w:rPr>
              <w:t>En cas de forme bénignes de COVID-19</w:t>
            </w:r>
            <w:r w:rsidR="00422EE7" w:rsidRPr="00AB733E">
              <w:rPr>
                <w:rFonts w:asciiTheme="majorHAnsi" w:hAnsiTheme="majorHAnsi" w:cstheme="majorHAnsi"/>
                <w:b/>
                <w:bCs/>
                <w:sz w:val="20"/>
                <w:szCs w:val="20"/>
                <w:u w:val="single"/>
                <w:lang w:val="fr-FR"/>
              </w:rPr>
              <w:t xml:space="preserve"> : </w:t>
            </w:r>
          </w:p>
          <w:p w14:paraId="6DCE1722" w14:textId="41313AB5" w:rsidR="003E21C8" w:rsidRDefault="003E21C8" w:rsidP="00A36DBC">
            <w:pPr>
              <w:pStyle w:val="Paragraphedeliste"/>
              <w:numPr>
                <w:ilvl w:val="0"/>
                <w:numId w:val="27"/>
              </w:numPr>
              <w:spacing w:before="8" w:after="8" w:line="233" w:lineRule="auto"/>
              <w:rPr>
                <w:rFonts w:asciiTheme="majorHAnsi" w:hAnsiTheme="majorHAnsi" w:cstheme="majorHAnsi"/>
                <w:sz w:val="20"/>
                <w:szCs w:val="20"/>
                <w:lang w:val="fr-FR"/>
              </w:rPr>
            </w:pPr>
            <w:r w:rsidRPr="00AB733E">
              <w:rPr>
                <w:rFonts w:asciiTheme="majorHAnsi" w:hAnsiTheme="majorHAnsi" w:cstheme="majorHAnsi"/>
                <w:sz w:val="20"/>
                <w:szCs w:val="20"/>
                <w:lang w:val="fr-FR"/>
              </w:rPr>
              <w:t xml:space="preserve">Continuer le traitement </w:t>
            </w:r>
            <w:r w:rsidR="00AB733E">
              <w:rPr>
                <w:rFonts w:asciiTheme="majorHAnsi" w:hAnsiTheme="majorHAnsi" w:cstheme="majorHAnsi"/>
                <w:sz w:val="20"/>
                <w:szCs w:val="20"/>
                <w:lang w:val="fr-FR"/>
              </w:rPr>
              <w:t xml:space="preserve">et </w:t>
            </w:r>
            <w:r w:rsidR="00433ED1" w:rsidRPr="003D31D0">
              <w:rPr>
                <w:rFonts w:asciiTheme="majorHAnsi" w:hAnsiTheme="majorHAnsi" w:cstheme="majorHAnsi"/>
                <w:sz w:val="20"/>
                <w:szCs w:val="20"/>
                <w:lang w:val="fr-FR"/>
              </w:rPr>
              <w:t>renforcer</w:t>
            </w:r>
            <w:r w:rsidRPr="003D31D0">
              <w:rPr>
                <w:rFonts w:asciiTheme="majorHAnsi" w:hAnsiTheme="majorHAnsi" w:cstheme="majorHAnsi"/>
                <w:sz w:val="20"/>
                <w:szCs w:val="20"/>
                <w:lang w:val="fr-FR"/>
              </w:rPr>
              <w:t xml:space="preserve"> la surveillance </w:t>
            </w:r>
            <w:r w:rsidR="00AB733E" w:rsidRPr="003D31D0">
              <w:rPr>
                <w:rFonts w:asciiTheme="majorHAnsi" w:hAnsiTheme="majorHAnsi" w:cstheme="majorHAnsi"/>
                <w:sz w:val="20"/>
                <w:szCs w:val="20"/>
                <w:lang w:val="fr-FR"/>
              </w:rPr>
              <w:t>de la lithémie</w:t>
            </w:r>
            <w:r w:rsidR="00681CB3">
              <w:rPr>
                <w:rFonts w:asciiTheme="majorHAnsi" w:hAnsiTheme="majorHAnsi" w:cstheme="majorHAnsi"/>
                <w:sz w:val="20"/>
                <w:szCs w:val="20"/>
                <w:lang w:val="fr-FR"/>
              </w:rPr>
              <w:t xml:space="preserve"> </w:t>
            </w:r>
          </w:p>
          <w:p w14:paraId="5AFA742C" w14:textId="6A90BA8A" w:rsidR="00422EE7" w:rsidRPr="00A46EF4" w:rsidRDefault="00422EE7" w:rsidP="00422EE7">
            <w:pPr>
              <w:pStyle w:val="Paragraphedeliste"/>
              <w:numPr>
                <w:ilvl w:val="0"/>
                <w:numId w:val="27"/>
              </w:numPr>
              <w:spacing w:before="8" w:after="8" w:line="233" w:lineRule="auto"/>
              <w:rPr>
                <w:rFonts w:asciiTheme="majorHAnsi" w:hAnsiTheme="majorHAnsi" w:cstheme="majorHAnsi"/>
                <w:sz w:val="20"/>
                <w:szCs w:val="20"/>
                <w:lang w:val="fr-FR"/>
              </w:rPr>
            </w:pPr>
            <w:r w:rsidRPr="00A46EF4">
              <w:rPr>
                <w:rFonts w:asciiTheme="majorHAnsi" w:hAnsiTheme="majorHAnsi" w:cstheme="majorHAnsi"/>
                <w:sz w:val="20"/>
                <w:szCs w:val="20"/>
                <w:lang w:val="fr-FR"/>
              </w:rPr>
              <w:t>Conseille</w:t>
            </w:r>
            <w:r w:rsidR="00374AD2" w:rsidRPr="00A46EF4">
              <w:rPr>
                <w:rFonts w:asciiTheme="majorHAnsi" w:hAnsiTheme="majorHAnsi" w:cstheme="majorHAnsi"/>
                <w:sz w:val="20"/>
                <w:szCs w:val="20"/>
                <w:lang w:val="fr-FR"/>
              </w:rPr>
              <w:t>r</w:t>
            </w:r>
            <w:r w:rsidRPr="00A46EF4">
              <w:rPr>
                <w:rFonts w:asciiTheme="majorHAnsi" w:hAnsiTheme="majorHAnsi" w:cstheme="majorHAnsi"/>
                <w:sz w:val="20"/>
                <w:szCs w:val="20"/>
                <w:lang w:val="fr-FR"/>
              </w:rPr>
              <w:t xml:space="preserve"> au patient de maintenir un apport hydrique adéquat</w:t>
            </w:r>
            <w:r w:rsidR="00AB733E">
              <w:rPr>
                <w:rFonts w:asciiTheme="majorHAnsi" w:hAnsiTheme="majorHAnsi" w:cstheme="majorHAnsi"/>
                <w:sz w:val="20"/>
                <w:szCs w:val="20"/>
                <w:lang w:val="fr-FR"/>
              </w:rPr>
              <w:t xml:space="preserve"> </w:t>
            </w:r>
          </w:p>
          <w:p w14:paraId="61CE18D3" w14:textId="77777777" w:rsidR="00AB733E" w:rsidRPr="00A46EF4" w:rsidRDefault="00AB733E" w:rsidP="00AB733E">
            <w:pPr>
              <w:pStyle w:val="Paragraphedeliste"/>
              <w:numPr>
                <w:ilvl w:val="0"/>
                <w:numId w:val="27"/>
              </w:numPr>
              <w:spacing w:before="8" w:after="8" w:line="233" w:lineRule="auto"/>
              <w:rPr>
                <w:rFonts w:asciiTheme="majorHAnsi" w:hAnsiTheme="majorHAnsi" w:cstheme="majorHAnsi"/>
                <w:sz w:val="20"/>
                <w:szCs w:val="20"/>
                <w:lang w:val="fr-FR"/>
              </w:rPr>
            </w:pPr>
            <w:r>
              <w:rPr>
                <w:rFonts w:asciiTheme="majorHAnsi" w:hAnsiTheme="majorHAnsi" w:cstheme="majorHAnsi"/>
                <w:sz w:val="20"/>
                <w:szCs w:val="20"/>
                <w:lang w:val="fr-FR"/>
              </w:rPr>
              <w:t>Rechercher les signes cliniques de toxicité du lithium</w:t>
            </w:r>
          </w:p>
          <w:p w14:paraId="5E311897" w14:textId="0FF6A76E" w:rsidR="00AB733E" w:rsidRDefault="00AB733E" w:rsidP="00422EE7">
            <w:pPr>
              <w:pStyle w:val="Paragraphedeliste"/>
              <w:numPr>
                <w:ilvl w:val="0"/>
                <w:numId w:val="27"/>
              </w:numPr>
              <w:spacing w:before="8" w:after="8" w:line="233" w:lineRule="auto"/>
              <w:rPr>
                <w:rFonts w:asciiTheme="majorHAnsi" w:hAnsiTheme="majorHAnsi" w:cstheme="majorHAnsi"/>
                <w:sz w:val="20"/>
                <w:szCs w:val="20"/>
                <w:lang w:val="fr-FR"/>
              </w:rPr>
            </w:pPr>
            <w:r>
              <w:rPr>
                <w:rFonts w:asciiTheme="majorHAnsi" w:hAnsiTheme="majorHAnsi" w:cstheme="majorHAnsi"/>
                <w:sz w:val="20"/>
                <w:szCs w:val="20"/>
                <w:lang w:val="fr-FR"/>
              </w:rPr>
              <w:t>Se référer aux protocoles locaux de diagnostics et de prise en charge du COVID</w:t>
            </w:r>
            <w:r w:rsidR="00617391">
              <w:rPr>
                <w:rFonts w:asciiTheme="majorHAnsi" w:hAnsiTheme="majorHAnsi" w:cstheme="majorHAnsi"/>
                <w:sz w:val="20"/>
                <w:szCs w:val="20"/>
                <w:lang w:val="fr-FR"/>
              </w:rPr>
              <w:t>. S</w:t>
            </w:r>
            <w:r>
              <w:rPr>
                <w:rFonts w:asciiTheme="majorHAnsi" w:hAnsiTheme="majorHAnsi" w:cstheme="majorHAnsi"/>
                <w:sz w:val="20"/>
                <w:szCs w:val="20"/>
                <w:lang w:val="fr-FR"/>
              </w:rPr>
              <w:t>urveiller les signes d’aggravation potentielle</w:t>
            </w:r>
            <w:r w:rsidR="00617391">
              <w:rPr>
                <w:rFonts w:asciiTheme="majorHAnsi" w:hAnsiTheme="majorHAnsi" w:cstheme="majorHAnsi"/>
                <w:sz w:val="20"/>
                <w:szCs w:val="20"/>
                <w:lang w:val="fr-FR"/>
              </w:rPr>
              <w:t xml:space="preserve"> et expliquer au patient qu’il doit signaler les signes d’aggravation à un médecin </w:t>
            </w:r>
          </w:p>
          <w:p w14:paraId="75EAC761" w14:textId="01688892" w:rsidR="00F61097" w:rsidRDefault="00F61097" w:rsidP="00422EE7">
            <w:pPr>
              <w:pStyle w:val="Paragraphedeliste"/>
              <w:numPr>
                <w:ilvl w:val="0"/>
                <w:numId w:val="27"/>
              </w:numPr>
              <w:spacing w:before="8" w:after="8" w:line="233" w:lineRule="auto"/>
              <w:rPr>
                <w:rFonts w:asciiTheme="majorHAnsi" w:hAnsiTheme="majorHAnsi" w:cstheme="majorHAnsi"/>
                <w:sz w:val="20"/>
                <w:szCs w:val="20"/>
                <w:lang w:val="fr-FR"/>
              </w:rPr>
            </w:pPr>
            <w:r>
              <w:rPr>
                <w:rFonts w:asciiTheme="majorHAnsi" w:hAnsiTheme="majorHAnsi" w:cstheme="majorHAnsi"/>
                <w:sz w:val="20"/>
                <w:szCs w:val="20"/>
                <w:lang w:val="fr-FR"/>
              </w:rPr>
              <w:t>Les maladies intercurrentes, notamment celles qui déshydratent (fièvre, diarrhées), peuvent augmenter la lithémie et conduire à une toxicité du lithium</w:t>
            </w:r>
          </w:p>
          <w:p w14:paraId="224BF8D8" w14:textId="07665134" w:rsidR="00617391" w:rsidRDefault="00617391" w:rsidP="00422EE7">
            <w:pPr>
              <w:pStyle w:val="Paragraphedeliste"/>
              <w:numPr>
                <w:ilvl w:val="0"/>
                <w:numId w:val="27"/>
              </w:numPr>
              <w:spacing w:before="8" w:after="8" w:line="233" w:lineRule="auto"/>
              <w:rPr>
                <w:rFonts w:asciiTheme="majorHAnsi" w:hAnsiTheme="majorHAnsi" w:cstheme="majorHAnsi"/>
                <w:sz w:val="20"/>
                <w:szCs w:val="20"/>
                <w:lang w:val="fr-FR"/>
              </w:rPr>
            </w:pPr>
            <w:r>
              <w:rPr>
                <w:rFonts w:asciiTheme="majorHAnsi" w:hAnsiTheme="majorHAnsi" w:cstheme="majorHAnsi"/>
                <w:sz w:val="20"/>
                <w:szCs w:val="20"/>
                <w:lang w:val="fr-FR"/>
              </w:rPr>
              <w:t>Rappeler au patient de ne pas prendre d’</w:t>
            </w:r>
            <w:proofErr w:type="spellStart"/>
            <w:r>
              <w:rPr>
                <w:rFonts w:asciiTheme="majorHAnsi" w:hAnsiTheme="majorHAnsi" w:cstheme="majorHAnsi"/>
                <w:sz w:val="20"/>
                <w:szCs w:val="20"/>
                <w:lang w:val="fr-FR"/>
              </w:rPr>
              <w:t>ibuprofen</w:t>
            </w:r>
            <w:proofErr w:type="spellEnd"/>
            <w:r>
              <w:rPr>
                <w:rFonts w:asciiTheme="majorHAnsi" w:hAnsiTheme="majorHAnsi" w:cstheme="majorHAnsi"/>
                <w:sz w:val="20"/>
                <w:szCs w:val="20"/>
                <w:lang w:val="fr-FR"/>
              </w:rPr>
              <w:t xml:space="preserve"> en cas de fièvre</w:t>
            </w:r>
          </w:p>
          <w:p w14:paraId="7B45F16F" w14:textId="6B1A2EB9" w:rsidR="00617391" w:rsidRDefault="00617391" w:rsidP="00422EE7">
            <w:pPr>
              <w:pStyle w:val="Paragraphedeliste"/>
              <w:numPr>
                <w:ilvl w:val="0"/>
                <w:numId w:val="27"/>
              </w:numPr>
              <w:spacing w:before="8" w:after="8" w:line="233" w:lineRule="auto"/>
              <w:rPr>
                <w:rFonts w:asciiTheme="majorHAnsi" w:hAnsiTheme="majorHAnsi" w:cstheme="majorHAnsi"/>
                <w:sz w:val="20"/>
                <w:szCs w:val="20"/>
                <w:lang w:val="fr-FR"/>
              </w:rPr>
            </w:pPr>
            <w:r>
              <w:rPr>
                <w:rFonts w:asciiTheme="majorHAnsi" w:hAnsiTheme="majorHAnsi" w:cstheme="majorHAnsi"/>
                <w:sz w:val="20"/>
                <w:szCs w:val="20"/>
                <w:lang w:val="fr-FR"/>
              </w:rPr>
              <w:t xml:space="preserve">Surveiller les possibles effets secondaires du lithium ou les symptômes de toxicité et rappeler au patient </w:t>
            </w:r>
            <w:proofErr w:type="gramStart"/>
            <w:r>
              <w:rPr>
                <w:rFonts w:asciiTheme="majorHAnsi" w:hAnsiTheme="majorHAnsi" w:cstheme="majorHAnsi"/>
                <w:sz w:val="20"/>
                <w:szCs w:val="20"/>
                <w:lang w:val="fr-FR"/>
              </w:rPr>
              <w:t>qu’il doivent</w:t>
            </w:r>
            <w:proofErr w:type="gramEnd"/>
            <w:r>
              <w:rPr>
                <w:rFonts w:asciiTheme="majorHAnsi" w:hAnsiTheme="majorHAnsi" w:cstheme="majorHAnsi"/>
                <w:sz w:val="20"/>
                <w:szCs w:val="20"/>
                <w:lang w:val="fr-FR"/>
              </w:rPr>
              <w:t xml:space="preserve"> les signaler immédiatement</w:t>
            </w:r>
          </w:p>
          <w:p w14:paraId="7024DA72" w14:textId="77777777" w:rsidR="00AB733E" w:rsidRPr="00AB733E" w:rsidRDefault="00AB733E" w:rsidP="00AB733E">
            <w:pPr>
              <w:spacing w:before="8" w:after="8" w:line="233" w:lineRule="auto"/>
              <w:rPr>
                <w:rFonts w:asciiTheme="majorHAnsi" w:hAnsiTheme="majorHAnsi" w:cstheme="majorHAnsi"/>
                <w:sz w:val="20"/>
                <w:szCs w:val="20"/>
                <w:lang w:val="fr-FR"/>
              </w:rPr>
            </w:pPr>
          </w:p>
          <w:p w14:paraId="1182A701" w14:textId="34CA2824" w:rsidR="00AB733E" w:rsidRPr="00AB733E" w:rsidRDefault="00AB733E" w:rsidP="00AB733E">
            <w:pPr>
              <w:spacing w:before="8" w:after="8" w:line="233" w:lineRule="auto"/>
              <w:rPr>
                <w:rFonts w:asciiTheme="majorHAnsi" w:hAnsiTheme="majorHAnsi" w:cstheme="majorHAnsi"/>
                <w:b/>
                <w:bCs/>
                <w:sz w:val="20"/>
                <w:szCs w:val="20"/>
                <w:u w:val="single"/>
                <w:lang w:val="fr-FR"/>
              </w:rPr>
            </w:pPr>
            <w:r w:rsidRPr="00AB733E">
              <w:rPr>
                <w:rFonts w:asciiTheme="majorHAnsi" w:hAnsiTheme="majorHAnsi" w:cstheme="majorHAnsi"/>
                <w:b/>
                <w:bCs/>
                <w:sz w:val="20"/>
                <w:szCs w:val="20"/>
                <w:u w:val="single"/>
                <w:lang w:val="fr-FR"/>
              </w:rPr>
              <w:t>En cas de forme</w:t>
            </w:r>
            <w:r>
              <w:rPr>
                <w:rFonts w:asciiTheme="majorHAnsi" w:hAnsiTheme="majorHAnsi" w:cstheme="majorHAnsi"/>
                <w:b/>
                <w:bCs/>
                <w:sz w:val="20"/>
                <w:szCs w:val="20"/>
                <w:u w:val="single"/>
                <w:lang w:val="fr-FR"/>
              </w:rPr>
              <w:t>s</w:t>
            </w:r>
            <w:r w:rsidRPr="00AB733E">
              <w:rPr>
                <w:rFonts w:asciiTheme="majorHAnsi" w:hAnsiTheme="majorHAnsi" w:cstheme="majorHAnsi"/>
                <w:b/>
                <w:bCs/>
                <w:sz w:val="20"/>
                <w:szCs w:val="20"/>
                <w:u w:val="single"/>
                <w:lang w:val="fr-FR"/>
              </w:rPr>
              <w:t xml:space="preserve"> </w:t>
            </w:r>
            <w:r>
              <w:rPr>
                <w:rFonts w:asciiTheme="majorHAnsi" w:hAnsiTheme="majorHAnsi" w:cstheme="majorHAnsi"/>
                <w:b/>
                <w:bCs/>
                <w:sz w:val="20"/>
                <w:szCs w:val="20"/>
                <w:u w:val="single"/>
                <w:lang w:val="fr-FR"/>
              </w:rPr>
              <w:t>modérées à sévères</w:t>
            </w:r>
            <w:r w:rsidRPr="00AB733E">
              <w:rPr>
                <w:rFonts w:asciiTheme="majorHAnsi" w:hAnsiTheme="majorHAnsi" w:cstheme="majorHAnsi"/>
                <w:b/>
                <w:bCs/>
                <w:sz w:val="20"/>
                <w:szCs w:val="20"/>
                <w:u w:val="single"/>
                <w:lang w:val="fr-FR"/>
              </w:rPr>
              <w:t xml:space="preserve"> de COVID-19 : </w:t>
            </w:r>
          </w:p>
          <w:p w14:paraId="17E17D10" w14:textId="31197B27" w:rsidR="00AB733E" w:rsidRDefault="00AB733E" w:rsidP="00AB733E">
            <w:pPr>
              <w:pStyle w:val="Paragraphedeliste"/>
              <w:numPr>
                <w:ilvl w:val="0"/>
                <w:numId w:val="27"/>
              </w:numPr>
              <w:spacing w:before="8" w:after="8" w:line="233" w:lineRule="auto"/>
              <w:rPr>
                <w:rFonts w:asciiTheme="majorHAnsi" w:hAnsiTheme="majorHAnsi" w:cstheme="majorHAnsi"/>
                <w:sz w:val="20"/>
                <w:szCs w:val="20"/>
                <w:lang w:val="fr-FR"/>
              </w:rPr>
            </w:pPr>
            <w:r w:rsidRPr="00A46EF4">
              <w:rPr>
                <w:rFonts w:asciiTheme="majorHAnsi" w:hAnsiTheme="majorHAnsi" w:cstheme="majorHAnsi"/>
                <w:sz w:val="20"/>
                <w:szCs w:val="20"/>
                <w:lang w:val="fr-FR"/>
              </w:rPr>
              <w:lastRenderedPageBreak/>
              <w:t xml:space="preserve">Demander une biologie sanguine comprenant une NFS, un ionogramme sanguin avec une calcémie et une albuminémie, une lithémie, une créatinémie avec </w:t>
            </w:r>
            <w:r w:rsidR="00B4415E">
              <w:rPr>
                <w:rFonts w:asciiTheme="majorHAnsi" w:hAnsiTheme="majorHAnsi" w:cstheme="majorHAnsi"/>
                <w:sz w:val="20"/>
                <w:szCs w:val="20"/>
                <w:lang w:val="fr-FR"/>
              </w:rPr>
              <w:t>calcul</w:t>
            </w:r>
            <w:r w:rsidRPr="00A46EF4">
              <w:rPr>
                <w:rFonts w:asciiTheme="majorHAnsi" w:hAnsiTheme="majorHAnsi" w:cstheme="majorHAnsi"/>
                <w:sz w:val="20"/>
                <w:szCs w:val="20"/>
                <w:lang w:val="fr-FR"/>
              </w:rPr>
              <w:t xml:space="preserve"> du DFG</w:t>
            </w:r>
            <w:r w:rsidR="0030165E">
              <w:rPr>
                <w:rFonts w:asciiTheme="majorHAnsi" w:hAnsiTheme="majorHAnsi" w:cstheme="majorHAnsi"/>
                <w:sz w:val="20"/>
                <w:szCs w:val="20"/>
                <w:lang w:val="fr-FR"/>
              </w:rPr>
              <w:t xml:space="preserve">. </w:t>
            </w:r>
          </w:p>
          <w:p w14:paraId="61836F51" w14:textId="1C7608AA" w:rsidR="0030165E" w:rsidRPr="0030165E" w:rsidRDefault="0030165E" w:rsidP="0030165E">
            <w:pPr>
              <w:pStyle w:val="Paragraphedeliste"/>
              <w:numPr>
                <w:ilvl w:val="0"/>
                <w:numId w:val="27"/>
              </w:numPr>
              <w:spacing w:before="8" w:after="8" w:line="233" w:lineRule="auto"/>
              <w:rPr>
                <w:rFonts w:asciiTheme="majorHAnsi" w:hAnsiTheme="majorHAnsi" w:cstheme="majorHAnsi"/>
                <w:sz w:val="20"/>
                <w:szCs w:val="20"/>
                <w:lang w:val="fr-FR"/>
              </w:rPr>
            </w:pPr>
            <w:r w:rsidRPr="00A46EF4">
              <w:rPr>
                <w:rFonts w:asciiTheme="majorHAnsi" w:hAnsiTheme="majorHAnsi" w:cstheme="majorHAnsi"/>
                <w:sz w:val="20"/>
                <w:szCs w:val="20"/>
                <w:lang w:val="fr-FR"/>
              </w:rPr>
              <w:t>Demander un ECG et une Bandelette urinaire à la recherche d’une protéinurie</w:t>
            </w:r>
          </w:p>
          <w:p w14:paraId="38F22FAD" w14:textId="77777777" w:rsidR="0030165E" w:rsidRDefault="00AB733E" w:rsidP="0030165E">
            <w:pPr>
              <w:pStyle w:val="Paragraphedeliste"/>
              <w:numPr>
                <w:ilvl w:val="0"/>
                <w:numId w:val="27"/>
              </w:numPr>
              <w:spacing w:before="8" w:after="8" w:line="233" w:lineRule="auto"/>
              <w:rPr>
                <w:rFonts w:asciiTheme="majorHAnsi" w:hAnsiTheme="majorHAnsi" w:cstheme="majorHAnsi"/>
                <w:sz w:val="20"/>
                <w:szCs w:val="20"/>
                <w:lang w:val="fr-FR"/>
              </w:rPr>
            </w:pPr>
            <w:r>
              <w:rPr>
                <w:rFonts w:asciiTheme="majorHAnsi" w:hAnsiTheme="majorHAnsi" w:cstheme="majorHAnsi"/>
                <w:sz w:val="20"/>
                <w:szCs w:val="20"/>
                <w:lang w:val="fr-FR"/>
              </w:rPr>
              <w:t>Rechercher les signes cliniques de toxicité du lithium</w:t>
            </w:r>
          </w:p>
          <w:p w14:paraId="7F64BD66" w14:textId="55B26C50" w:rsidR="0030165E" w:rsidRPr="0030165E" w:rsidRDefault="0030165E" w:rsidP="0030165E">
            <w:pPr>
              <w:pStyle w:val="Paragraphedeliste"/>
              <w:numPr>
                <w:ilvl w:val="0"/>
                <w:numId w:val="27"/>
              </w:numPr>
              <w:spacing w:before="8" w:after="8" w:line="233" w:lineRule="auto"/>
              <w:rPr>
                <w:rFonts w:asciiTheme="majorHAnsi" w:hAnsiTheme="majorHAnsi" w:cstheme="majorHAnsi"/>
                <w:sz w:val="20"/>
                <w:szCs w:val="20"/>
                <w:lang w:val="fr-FR"/>
              </w:rPr>
            </w:pPr>
            <w:r w:rsidRPr="0030165E">
              <w:rPr>
                <w:rFonts w:asciiTheme="majorHAnsi" w:hAnsiTheme="majorHAnsi" w:cstheme="majorHAnsi"/>
                <w:sz w:val="20"/>
                <w:szCs w:val="20"/>
                <w:lang w:val="fr-FR"/>
              </w:rPr>
              <w:t>La décision de suspendre temporairement le lithium ou de recommander une dose réduite peut être prise en fonction de la situation individuelle du patient et en sachant qu'un arrêt soudain du lithium est associé à un risque élevé de rechute.</w:t>
            </w:r>
          </w:p>
          <w:p w14:paraId="6B900E60" w14:textId="6CC937D2" w:rsidR="0030165E" w:rsidRPr="00433ED1" w:rsidRDefault="00AB733E" w:rsidP="0030165E">
            <w:pPr>
              <w:pStyle w:val="Paragraphedeliste"/>
              <w:numPr>
                <w:ilvl w:val="0"/>
                <w:numId w:val="27"/>
              </w:numPr>
              <w:spacing w:before="8" w:after="8" w:line="233" w:lineRule="auto"/>
              <w:rPr>
                <w:rFonts w:asciiTheme="majorHAnsi" w:hAnsiTheme="majorHAnsi" w:cstheme="majorHAnsi"/>
                <w:sz w:val="20"/>
                <w:szCs w:val="20"/>
                <w:lang w:val="fr-BE"/>
              </w:rPr>
            </w:pPr>
            <w:r w:rsidRPr="0030165E">
              <w:rPr>
                <w:rFonts w:asciiTheme="majorHAnsi" w:hAnsiTheme="majorHAnsi" w:cstheme="majorHAnsi"/>
                <w:sz w:val="20"/>
                <w:szCs w:val="20"/>
                <w:lang w:val="fr-FR"/>
              </w:rPr>
              <w:t xml:space="preserve">Selon les résultats des analyses de sang et de la clinique, les cliniciens peuvent avoir besoin de modifier la dose et / ou d'augmenter la fréquence de la surveillance ultérieure du lithium. </w:t>
            </w:r>
            <w:r w:rsidRPr="00433ED1">
              <w:rPr>
                <w:rFonts w:asciiTheme="majorHAnsi" w:hAnsiTheme="majorHAnsi" w:cstheme="majorHAnsi"/>
                <w:sz w:val="20"/>
                <w:szCs w:val="20"/>
                <w:lang w:val="fr-BE"/>
              </w:rPr>
              <w:t xml:space="preserve">Si les lithémies sont élevées ou si la fonction rénale est compromise, demandez </w:t>
            </w:r>
            <w:r w:rsidR="0030165E" w:rsidRPr="00433ED1">
              <w:rPr>
                <w:rFonts w:asciiTheme="majorHAnsi" w:hAnsiTheme="majorHAnsi" w:cstheme="majorHAnsi"/>
                <w:sz w:val="20"/>
                <w:szCs w:val="20"/>
                <w:lang w:val="fr-BE"/>
              </w:rPr>
              <w:t>en urgence l’avis d’un</w:t>
            </w:r>
            <w:r w:rsidR="00681CB3" w:rsidRPr="00433ED1">
              <w:rPr>
                <w:rFonts w:asciiTheme="majorHAnsi" w:hAnsiTheme="majorHAnsi" w:cstheme="majorHAnsi"/>
                <w:sz w:val="20"/>
                <w:szCs w:val="20"/>
                <w:lang w:val="fr-BE"/>
              </w:rPr>
              <w:t xml:space="preserve"> néphrologue</w:t>
            </w:r>
            <w:r w:rsidRPr="00433ED1">
              <w:rPr>
                <w:rFonts w:asciiTheme="majorHAnsi" w:hAnsiTheme="majorHAnsi" w:cstheme="majorHAnsi"/>
                <w:sz w:val="20"/>
                <w:szCs w:val="20"/>
                <w:lang w:val="fr-BE"/>
              </w:rPr>
              <w:t>.</w:t>
            </w:r>
          </w:p>
          <w:p w14:paraId="7DE61C6A" w14:textId="61E9129E" w:rsidR="005209AE" w:rsidRDefault="00B4415E" w:rsidP="0030165E">
            <w:pPr>
              <w:pStyle w:val="Paragraphedeliste"/>
              <w:numPr>
                <w:ilvl w:val="0"/>
                <w:numId w:val="27"/>
              </w:numPr>
              <w:spacing w:before="8" w:after="8" w:line="233" w:lineRule="auto"/>
              <w:rPr>
                <w:rFonts w:asciiTheme="majorHAnsi" w:hAnsiTheme="majorHAnsi" w:cstheme="majorHAnsi"/>
                <w:sz w:val="20"/>
                <w:szCs w:val="20"/>
                <w:lang w:val="fr-FR"/>
              </w:rPr>
            </w:pPr>
            <w:r>
              <w:rPr>
                <w:rFonts w:asciiTheme="majorHAnsi" w:hAnsiTheme="majorHAnsi" w:cstheme="majorHAnsi"/>
                <w:sz w:val="20"/>
                <w:szCs w:val="20"/>
                <w:lang w:val="fr-FR"/>
              </w:rPr>
              <w:t>En cas de risque de déshydratation et/ou d’insuffisance rénale, ou s’il n’est pas possible d</w:t>
            </w:r>
            <w:r w:rsidR="00076FCE">
              <w:rPr>
                <w:rFonts w:asciiTheme="majorHAnsi" w:hAnsiTheme="majorHAnsi" w:cstheme="majorHAnsi"/>
                <w:sz w:val="20"/>
                <w:szCs w:val="20"/>
                <w:lang w:val="fr-FR"/>
              </w:rPr>
              <w:t>’évaluer</w:t>
            </w:r>
            <w:r>
              <w:rPr>
                <w:rFonts w:asciiTheme="majorHAnsi" w:hAnsiTheme="majorHAnsi" w:cstheme="majorHAnsi"/>
                <w:sz w:val="20"/>
                <w:szCs w:val="20"/>
                <w:lang w:val="fr-FR"/>
              </w:rPr>
              <w:t xml:space="preserve"> l’apparition de signes de toxicité, il faut arrêter le lithium et faire réaliser en urgence une lithémie, un ionogramme une </w:t>
            </w:r>
            <w:r w:rsidR="00433ED1">
              <w:rPr>
                <w:rFonts w:asciiTheme="majorHAnsi" w:hAnsiTheme="majorHAnsi" w:cstheme="majorHAnsi"/>
                <w:sz w:val="20"/>
                <w:szCs w:val="20"/>
                <w:lang w:val="fr-FR"/>
              </w:rPr>
              <w:t>créatininémie</w:t>
            </w:r>
            <w:r>
              <w:rPr>
                <w:rFonts w:asciiTheme="majorHAnsi" w:hAnsiTheme="majorHAnsi" w:cstheme="majorHAnsi"/>
                <w:sz w:val="20"/>
                <w:szCs w:val="20"/>
                <w:lang w:val="fr-FR"/>
              </w:rPr>
              <w:t xml:space="preserve"> avec calcul du DFG</w:t>
            </w:r>
          </w:p>
          <w:p w14:paraId="475FD849" w14:textId="77777777" w:rsidR="00617391" w:rsidRDefault="00617391" w:rsidP="00617391">
            <w:pPr>
              <w:pStyle w:val="Paragraphedeliste"/>
              <w:numPr>
                <w:ilvl w:val="0"/>
                <w:numId w:val="27"/>
              </w:numPr>
              <w:spacing w:before="8" w:after="8" w:line="233" w:lineRule="auto"/>
              <w:rPr>
                <w:rFonts w:asciiTheme="majorHAnsi" w:hAnsiTheme="majorHAnsi" w:cstheme="majorHAnsi"/>
                <w:sz w:val="20"/>
                <w:szCs w:val="20"/>
                <w:lang w:val="fr-FR"/>
              </w:rPr>
            </w:pPr>
            <w:r>
              <w:rPr>
                <w:rFonts w:asciiTheme="majorHAnsi" w:hAnsiTheme="majorHAnsi" w:cstheme="majorHAnsi"/>
                <w:sz w:val="20"/>
                <w:szCs w:val="20"/>
                <w:lang w:val="fr-FR"/>
              </w:rPr>
              <w:t>Rappeler au patient de ne pas prendre d’</w:t>
            </w:r>
            <w:proofErr w:type="spellStart"/>
            <w:r>
              <w:rPr>
                <w:rFonts w:asciiTheme="majorHAnsi" w:hAnsiTheme="majorHAnsi" w:cstheme="majorHAnsi"/>
                <w:sz w:val="20"/>
                <w:szCs w:val="20"/>
                <w:lang w:val="fr-FR"/>
              </w:rPr>
              <w:t>ibuprofen</w:t>
            </w:r>
            <w:proofErr w:type="spellEnd"/>
            <w:r>
              <w:rPr>
                <w:rFonts w:asciiTheme="majorHAnsi" w:hAnsiTheme="majorHAnsi" w:cstheme="majorHAnsi"/>
                <w:sz w:val="20"/>
                <w:szCs w:val="20"/>
                <w:lang w:val="fr-FR"/>
              </w:rPr>
              <w:t xml:space="preserve"> en cas de fièvre</w:t>
            </w:r>
          </w:p>
          <w:p w14:paraId="457C29E4" w14:textId="25BF53B0" w:rsidR="00617391" w:rsidRPr="00617391" w:rsidRDefault="00617391" w:rsidP="00617391">
            <w:pPr>
              <w:pStyle w:val="Paragraphedeliste"/>
              <w:numPr>
                <w:ilvl w:val="0"/>
                <w:numId w:val="27"/>
              </w:numPr>
              <w:spacing w:before="8" w:after="8" w:line="233" w:lineRule="auto"/>
              <w:rPr>
                <w:rFonts w:asciiTheme="majorHAnsi" w:hAnsiTheme="majorHAnsi" w:cstheme="majorHAnsi"/>
                <w:sz w:val="20"/>
                <w:szCs w:val="20"/>
                <w:lang w:val="fr-FR"/>
              </w:rPr>
            </w:pPr>
            <w:r>
              <w:rPr>
                <w:rFonts w:asciiTheme="majorHAnsi" w:hAnsiTheme="majorHAnsi" w:cstheme="majorHAnsi"/>
                <w:sz w:val="20"/>
                <w:szCs w:val="20"/>
                <w:lang w:val="fr-FR"/>
              </w:rPr>
              <w:t xml:space="preserve">Surveiller les possibles effets secondaires du lithium ou les symptômes de toxicité et rappeler au patient </w:t>
            </w:r>
            <w:proofErr w:type="gramStart"/>
            <w:r>
              <w:rPr>
                <w:rFonts w:asciiTheme="majorHAnsi" w:hAnsiTheme="majorHAnsi" w:cstheme="majorHAnsi"/>
                <w:sz w:val="20"/>
                <w:szCs w:val="20"/>
                <w:lang w:val="fr-FR"/>
              </w:rPr>
              <w:t>qu’il doivent</w:t>
            </w:r>
            <w:proofErr w:type="gramEnd"/>
            <w:r>
              <w:rPr>
                <w:rFonts w:asciiTheme="majorHAnsi" w:hAnsiTheme="majorHAnsi" w:cstheme="majorHAnsi"/>
                <w:sz w:val="20"/>
                <w:szCs w:val="20"/>
                <w:lang w:val="fr-FR"/>
              </w:rPr>
              <w:t xml:space="preserve"> les signaler immédiatement.</w:t>
            </w:r>
          </w:p>
          <w:p w14:paraId="2DF7C7BC" w14:textId="630B564A" w:rsidR="00B4230B" w:rsidRPr="00B4415E" w:rsidRDefault="00B4230B" w:rsidP="00B4415E">
            <w:pPr>
              <w:spacing w:before="8" w:after="8" w:line="233" w:lineRule="auto"/>
              <w:ind w:left="360"/>
              <w:rPr>
                <w:rFonts w:asciiTheme="majorHAnsi" w:hAnsiTheme="majorHAnsi" w:cstheme="majorHAnsi"/>
                <w:sz w:val="20"/>
                <w:szCs w:val="20"/>
                <w:lang w:val="fr-FR"/>
              </w:rPr>
            </w:pPr>
          </w:p>
        </w:tc>
      </w:tr>
      <w:tr w:rsidR="00B04713" w:rsidRPr="00EE2623" w14:paraId="16A6E09F" w14:textId="77777777" w:rsidTr="00D54077">
        <w:tc>
          <w:tcPr>
            <w:tcW w:w="1148" w:type="pct"/>
            <w:tcBorders>
              <w:top w:val="nil"/>
              <w:left w:val="single" w:sz="48" w:space="0" w:color="E2F2FF"/>
              <w:bottom w:val="nil"/>
              <w:right w:val="nil"/>
            </w:tcBorders>
            <w:shd w:val="clear" w:color="auto" w:fill="E2F2FF"/>
          </w:tcPr>
          <w:p w14:paraId="200AF2C0" w14:textId="4EEB2052" w:rsidR="00893B1E" w:rsidRPr="00B90067" w:rsidRDefault="00893B1E" w:rsidP="00B04713">
            <w:pPr>
              <w:spacing w:before="8" w:after="8"/>
              <w:rPr>
                <w:rFonts w:asciiTheme="majorHAnsi" w:hAnsiTheme="majorHAnsi" w:cstheme="majorHAnsi"/>
                <w:b/>
                <w:bCs/>
                <w:sz w:val="20"/>
                <w:szCs w:val="20"/>
                <w:lang w:val="fr-FR"/>
              </w:rPr>
            </w:pPr>
            <w:r w:rsidRPr="00B90067">
              <w:rPr>
                <w:rFonts w:asciiTheme="majorHAnsi" w:hAnsiTheme="majorHAnsi" w:cstheme="majorHAnsi"/>
                <w:b/>
                <w:bCs/>
                <w:sz w:val="20"/>
                <w:szCs w:val="20"/>
                <w:lang w:val="fr-FR"/>
              </w:rPr>
              <w:lastRenderedPageBreak/>
              <w:t xml:space="preserve">Les patients peuvent-ils prendre de l'ibuprofène pour soulager leurs </w:t>
            </w:r>
            <w:r w:rsidR="00433ED1" w:rsidRPr="00B90067">
              <w:rPr>
                <w:rFonts w:asciiTheme="majorHAnsi" w:hAnsiTheme="majorHAnsi" w:cstheme="majorHAnsi"/>
                <w:b/>
                <w:bCs/>
                <w:sz w:val="20"/>
                <w:szCs w:val="20"/>
                <w:lang w:val="fr-FR"/>
              </w:rPr>
              <w:t>symptômes ?</w:t>
            </w:r>
          </w:p>
          <w:p w14:paraId="78A9A806" w14:textId="77777777" w:rsidR="00DC460D" w:rsidRDefault="00DC460D" w:rsidP="00DC460D">
            <w:pPr>
              <w:spacing w:before="8" w:after="8"/>
              <w:rPr>
                <w:rFonts w:asciiTheme="majorHAnsi" w:hAnsiTheme="majorHAnsi" w:cstheme="majorHAnsi"/>
                <w:sz w:val="20"/>
                <w:szCs w:val="20"/>
              </w:rPr>
            </w:pPr>
            <w:r w:rsidRPr="00796C59">
              <w:rPr>
                <w:rFonts w:asciiTheme="majorHAnsi" w:hAnsiTheme="majorHAnsi" w:cstheme="majorHAnsi"/>
                <w:sz w:val="20"/>
                <w:szCs w:val="20"/>
              </w:rPr>
              <w:t>[</w:t>
            </w:r>
            <w:hyperlink r:id="rId38" w:history="1">
              <w:r w:rsidRPr="00796C59">
                <w:rPr>
                  <w:rStyle w:val="Lienhypertexte"/>
                  <w:rFonts w:asciiTheme="majorHAnsi" w:hAnsiTheme="majorHAnsi" w:cstheme="majorHAnsi"/>
                  <w:sz w:val="20"/>
                  <w:szCs w:val="20"/>
                </w:rPr>
                <w:t>link1</w:t>
              </w:r>
            </w:hyperlink>
            <w:r w:rsidRPr="00796C59">
              <w:rPr>
                <w:rFonts w:asciiTheme="majorHAnsi" w:hAnsiTheme="majorHAnsi" w:cstheme="majorHAnsi"/>
                <w:sz w:val="20"/>
                <w:szCs w:val="20"/>
              </w:rPr>
              <w:t>]</w:t>
            </w:r>
          </w:p>
          <w:p w14:paraId="5FCE6309" w14:textId="4FF8623B" w:rsidR="00DC460D" w:rsidRDefault="004D380F" w:rsidP="00B04713">
            <w:pPr>
              <w:spacing w:before="8" w:after="8"/>
              <w:rPr>
                <w:rFonts w:asciiTheme="majorHAnsi" w:hAnsiTheme="majorHAnsi" w:cstheme="majorHAnsi"/>
                <w:sz w:val="20"/>
                <w:szCs w:val="20"/>
              </w:rPr>
            </w:pPr>
            <w:r>
              <w:rPr>
                <w:rFonts w:asciiTheme="majorHAnsi" w:hAnsiTheme="majorHAnsi" w:cstheme="majorHAnsi"/>
                <w:sz w:val="20"/>
                <w:szCs w:val="20"/>
              </w:rPr>
              <w:t>[</w:t>
            </w:r>
            <w:hyperlink r:id="rId39" w:history="1">
              <w:r w:rsidRPr="004D380F">
                <w:rPr>
                  <w:rStyle w:val="Lienhypertexte"/>
                  <w:rFonts w:asciiTheme="majorHAnsi" w:hAnsiTheme="majorHAnsi" w:cstheme="majorHAnsi"/>
                  <w:sz w:val="20"/>
                  <w:szCs w:val="20"/>
                </w:rPr>
                <w:t>link4</w:t>
              </w:r>
            </w:hyperlink>
            <w:r>
              <w:rPr>
                <w:rFonts w:asciiTheme="majorHAnsi" w:hAnsiTheme="majorHAnsi" w:cstheme="majorHAnsi"/>
                <w:sz w:val="20"/>
                <w:szCs w:val="20"/>
              </w:rPr>
              <w:t>]</w:t>
            </w:r>
          </w:p>
          <w:p w14:paraId="06DD52FE" w14:textId="40089547" w:rsidR="002A7742" w:rsidRDefault="001F654E" w:rsidP="00B04713">
            <w:pPr>
              <w:spacing w:before="8" w:after="8"/>
              <w:rPr>
                <w:rFonts w:asciiTheme="majorHAnsi" w:hAnsiTheme="majorHAnsi" w:cstheme="majorHAnsi"/>
                <w:sz w:val="20"/>
                <w:szCs w:val="20"/>
              </w:rPr>
            </w:pPr>
            <w:hyperlink r:id="rId40" w:history="1">
              <w:r w:rsidR="002A7742" w:rsidRPr="002A7742">
                <w:rPr>
                  <w:rStyle w:val="Lienhypertexte"/>
                  <w:rFonts w:asciiTheme="majorHAnsi" w:hAnsiTheme="majorHAnsi" w:cstheme="majorHAnsi"/>
                  <w:sz w:val="20"/>
                  <w:szCs w:val="20"/>
                </w:rPr>
                <w:t>[link6]</w:t>
              </w:r>
            </w:hyperlink>
          </w:p>
          <w:p w14:paraId="11B53E9B" w14:textId="5E0C1A5D" w:rsidR="004D380F" w:rsidRPr="00796C59" w:rsidRDefault="00EE2623" w:rsidP="00B04713">
            <w:pPr>
              <w:spacing w:before="8" w:after="8"/>
              <w:rPr>
                <w:rFonts w:asciiTheme="majorHAnsi" w:hAnsiTheme="majorHAnsi" w:cstheme="majorHAnsi"/>
                <w:b/>
                <w:bCs/>
                <w:sz w:val="20"/>
                <w:szCs w:val="20"/>
              </w:rPr>
            </w:pPr>
            <w:r>
              <w:rPr>
                <w:rStyle w:val="Lienhypertexte"/>
              </w:rPr>
              <w:t xml:space="preserve">Lien </w:t>
            </w:r>
            <w:hyperlink r:id="rId41" w:history="1">
              <w:proofErr w:type="spellStart"/>
              <w:r w:rsidRPr="00EE2623">
                <w:rPr>
                  <w:rStyle w:val="Lienhypertexte"/>
                </w:rPr>
                <w:t>supplémentaire</w:t>
              </w:r>
              <w:proofErr w:type="spellEnd"/>
            </w:hyperlink>
          </w:p>
        </w:tc>
        <w:tc>
          <w:tcPr>
            <w:tcW w:w="3852" w:type="pct"/>
            <w:tcBorders>
              <w:top w:val="nil"/>
              <w:left w:val="nil"/>
              <w:bottom w:val="nil"/>
              <w:right w:val="single" w:sz="48" w:space="0" w:color="E2F2FF"/>
            </w:tcBorders>
            <w:shd w:val="clear" w:color="auto" w:fill="E2F2FF"/>
          </w:tcPr>
          <w:p w14:paraId="074452F2" w14:textId="0BF4FD58" w:rsidR="00893B1E" w:rsidRPr="00A46EF4" w:rsidRDefault="00B4415E" w:rsidP="00893B1E">
            <w:pPr>
              <w:spacing w:before="8" w:after="8" w:line="233" w:lineRule="auto"/>
              <w:rPr>
                <w:rFonts w:asciiTheme="majorHAnsi" w:hAnsiTheme="majorHAnsi" w:cstheme="majorHAnsi"/>
                <w:sz w:val="20"/>
                <w:szCs w:val="20"/>
                <w:lang w:val="fr-ML"/>
              </w:rPr>
            </w:pPr>
            <w:r>
              <w:rPr>
                <w:rFonts w:asciiTheme="majorHAnsi" w:hAnsiTheme="majorHAnsi" w:cstheme="majorHAnsi"/>
                <w:sz w:val="20"/>
                <w:szCs w:val="20"/>
                <w:lang w:val="fr-ML"/>
              </w:rPr>
              <w:t>L</w:t>
            </w:r>
            <w:r w:rsidR="00893B1E" w:rsidRPr="00A46EF4">
              <w:rPr>
                <w:rFonts w:asciiTheme="majorHAnsi" w:hAnsiTheme="majorHAnsi" w:cstheme="majorHAnsi"/>
                <w:sz w:val="20"/>
                <w:szCs w:val="20"/>
                <w:lang w:val="fr-ML"/>
              </w:rPr>
              <w:t>es patients doivent être avisés de prendre du paracétamol pour traiter leurs symptômes</w:t>
            </w:r>
            <w:r>
              <w:rPr>
                <w:rFonts w:asciiTheme="majorHAnsi" w:hAnsiTheme="majorHAnsi" w:cstheme="majorHAnsi"/>
                <w:sz w:val="20"/>
                <w:szCs w:val="20"/>
                <w:lang w:val="fr-ML"/>
              </w:rPr>
              <w:t xml:space="preserve"> (en l’absence de contre-indication)</w:t>
            </w:r>
            <w:r w:rsidR="00893B1E" w:rsidRPr="00A46EF4">
              <w:rPr>
                <w:rFonts w:asciiTheme="majorHAnsi" w:hAnsiTheme="majorHAnsi" w:cstheme="majorHAnsi"/>
                <w:sz w:val="20"/>
                <w:szCs w:val="20"/>
                <w:lang w:val="fr-ML"/>
              </w:rPr>
              <w:t>.</w:t>
            </w:r>
          </w:p>
          <w:p w14:paraId="632ECECD" w14:textId="77777777" w:rsidR="00893B1E" w:rsidRPr="00A46EF4" w:rsidRDefault="00893B1E" w:rsidP="00893B1E">
            <w:pPr>
              <w:spacing w:before="8" w:after="8" w:line="233" w:lineRule="auto"/>
              <w:rPr>
                <w:rFonts w:asciiTheme="majorHAnsi" w:hAnsiTheme="majorHAnsi" w:cstheme="majorHAnsi"/>
                <w:sz w:val="20"/>
                <w:szCs w:val="20"/>
                <w:lang w:val="fr-ML"/>
              </w:rPr>
            </w:pPr>
          </w:p>
          <w:p w14:paraId="0C166DC9" w14:textId="76C51D9A" w:rsidR="00893B1E" w:rsidRPr="00A46EF4" w:rsidRDefault="00893B1E" w:rsidP="00893B1E">
            <w:pPr>
              <w:spacing w:before="8" w:after="8" w:line="233" w:lineRule="auto"/>
              <w:rPr>
                <w:rFonts w:asciiTheme="majorHAnsi" w:hAnsiTheme="majorHAnsi" w:cstheme="majorHAnsi"/>
                <w:sz w:val="20"/>
                <w:szCs w:val="20"/>
                <w:lang w:val="fr-ML"/>
              </w:rPr>
            </w:pPr>
            <w:r w:rsidRPr="00A46EF4">
              <w:rPr>
                <w:rFonts w:asciiTheme="majorHAnsi" w:hAnsiTheme="majorHAnsi" w:cstheme="majorHAnsi"/>
                <w:sz w:val="20"/>
                <w:szCs w:val="20"/>
                <w:lang w:val="fr-ML"/>
              </w:rPr>
              <w:t xml:space="preserve">Il est particulièrement important que les patients sous lithium </w:t>
            </w:r>
            <w:r w:rsidR="00B4415E">
              <w:rPr>
                <w:rFonts w:asciiTheme="majorHAnsi" w:hAnsiTheme="majorHAnsi" w:cstheme="majorHAnsi"/>
                <w:sz w:val="20"/>
                <w:szCs w:val="20"/>
                <w:lang w:val="fr-ML"/>
              </w:rPr>
              <w:t>ne s’auto</w:t>
            </w:r>
            <w:r w:rsidR="00076FCE">
              <w:rPr>
                <w:rFonts w:asciiTheme="majorHAnsi" w:hAnsiTheme="majorHAnsi" w:cstheme="majorHAnsi"/>
                <w:sz w:val="20"/>
                <w:szCs w:val="20"/>
                <w:lang w:val="fr-ML"/>
              </w:rPr>
              <w:t>-</w:t>
            </w:r>
            <w:r w:rsidR="00B4415E">
              <w:rPr>
                <w:rFonts w:asciiTheme="majorHAnsi" w:hAnsiTheme="majorHAnsi" w:cstheme="majorHAnsi"/>
                <w:sz w:val="20"/>
                <w:szCs w:val="20"/>
                <w:lang w:val="fr-ML"/>
              </w:rPr>
              <w:t xml:space="preserve">médiquent pas avec des AINS qui augmentent le risque de toxicité. </w:t>
            </w:r>
          </w:p>
          <w:p w14:paraId="30F536DA" w14:textId="4A460463" w:rsidR="00893B1E" w:rsidRPr="00A46EF4" w:rsidRDefault="00893B1E" w:rsidP="00893B1E">
            <w:pPr>
              <w:spacing w:before="8" w:after="8" w:line="233" w:lineRule="auto"/>
              <w:rPr>
                <w:rFonts w:asciiTheme="majorHAnsi" w:hAnsiTheme="majorHAnsi" w:cstheme="majorHAnsi"/>
                <w:sz w:val="20"/>
                <w:szCs w:val="20"/>
                <w:lang w:val="fr-ML"/>
              </w:rPr>
            </w:pPr>
          </w:p>
          <w:p w14:paraId="18264F2B" w14:textId="70EB6610" w:rsidR="00B4230B" w:rsidRDefault="00893B1E" w:rsidP="00433ED1">
            <w:pPr>
              <w:spacing w:before="8" w:after="8" w:line="233" w:lineRule="auto"/>
              <w:rPr>
                <w:rFonts w:asciiTheme="majorHAnsi" w:hAnsiTheme="majorHAnsi" w:cstheme="majorHAnsi"/>
                <w:sz w:val="20"/>
                <w:szCs w:val="20"/>
                <w:lang w:val="fr-ML"/>
              </w:rPr>
            </w:pPr>
            <w:r w:rsidRPr="00A46EF4">
              <w:rPr>
                <w:rFonts w:asciiTheme="majorHAnsi" w:hAnsiTheme="majorHAnsi" w:cstheme="majorHAnsi"/>
                <w:sz w:val="20"/>
                <w:szCs w:val="20"/>
                <w:lang w:val="fr-ML"/>
              </w:rPr>
              <w:t xml:space="preserve">Les directives </w:t>
            </w:r>
            <w:r w:rsidR="00433ED1">
              <w:rPr>
                <w:rFonts w:asciiTheme="majorHAnsi" w:hAnsiTheme="majorHAnsi" w:cstheme="majorHAnsi"/>
                <w:sz w:val="20"/>
                <w:szCs w:val="20"/>
                <w:lang w:val="fr-ML"/>
              </w:rPr>
              <w:t xml:space="preserve">du Royaume Unis recommandent </w:t>
            </w:r>
            <w:r w:rsidRPr="00A46EF4">
              <w:rPr>
                <w:rFonts w:asciiTheme="majorHAnsi" w:hAnsiTheme="majorHAnsi" w:cstheme="majorHAnsi"/>
                <w:sz w:val="20"/>
                <w:szCs w:val="20"/>
                <w:lang w:val="fr-ML"/>
              </w:rPr>
              <w:t>de ne pas arrêter les AINS réguliers qui sont prescrits pour d'autres conditions médicales. Les AINS peuvent être prescrits régulièrement avec du lithium - à condition que les niveaux de lithium soient ajustés et surveillés fréquemment (</w:t>
            </w:r>
            <w:r w:rsidR="00433ED1">
              <w:rPr>
                <w:rFonts w:asciiTheme="majorHAnsi" w:hAnsiTheme="majorHAnsi" w:cstheme="majorHAnsi"/>
                <w:sz w:val="20"/>
                <w:szCs w:val="20"/>
                <w:lang w:val="fr-ML"/>
              </w:rPr>
              <w:t xml:space="preserve">au moins </w:t>
            </w:r>
            <w:r w:rsidRPr="00A46EF4">
              <w:rPr>
                <w:rFonts w:asciiTheme="majorHAnsi" w:hAnsiTheme="majorHAnsi" w:cstheme="majorHAnsi"/>
                <w:sz w:val="20"/>
                <w:szCs w:val="20"/>
                <w:lang w:val="fr-ML"/>
              </w:rPr>
              <w:t>tous les 3 mois) (</w:t>
            </w:r>
            <w:r w:rsidR="00433ED1">
              <w:rPr>
                <w:rFonts w:asciiTheme="majorHAnsi" w:hAnsiTheme="majorHAnsi" w:cstheme="majorHAnsi"/>
                <w:sz w:val="20"/>
                <w:szCs w:val="20"/>
                <w:lang w:val="fr-ML"/>
              </w:rPr>
              <w:t>pas de recommandation en France à ce jour</w:t>
            </w:r>
            <w:r w:rsidRPr="00A46EF4">
              <w:rPr>
                <w:rFonts w:asciiTheme="majorHAnsi" w:hAnsiTheme="majorHAnsi" w:cstheme="majorHAnsi"/>
                <w:sz w:val="20"/>
                <w:szCs w:val="20"/>
                <w:lang w:val="fr-ML"/>
              </w:rPr>
              <w:t xml:space="preserve">). </w:t>
            </w:r>
          </w:p>
          <w:p w14:paraId="712F68EB" w14:textId="4E07B136" w:rsidR="00433ED1" w:rsidRPr="00433ED1" w:rsidRDefault="00433ED1" w:rsidP="00433ED1">
            <w:pPr>
              <w:spacing w:before="8" w:after="8" w:line="233" w:lineRule="auto"/>
              <w:rPr>
                <w:rFonts w:asciiTheme="majorHAnsi" w:hAnsiTheme="majorHAnsi" w:cstheme="majorHAnsi"/>
                <w:sz w:val="20"/>
                <w:szCs w:val="20"/>
                <w:lang w:val="fr-FR"/>
              </w:rPr>
            </w:pPr>
          </w:p>
        </w:tc>
      </w:tr>
      <w:tr w:rsidR="00B04713" w:rsidRPr="00EE2623" w14:paraId="6C359C93" w14:textId="77777777" w:rsidTr="00D54077">
        <w:tc>
          <w:tcPr>
            <w:tcW w:w="1148" w:type="pct"/>
            <w:tcBorders>
              <w:top w:val="nil"/>
              <w:left w:val="single" w:sz="48" w:space="0" w:color="E2F2FF"/>
              <w:bottom w:val="nil"/>
              <w:right w:val="nil"/>
            </w:tcBorders>
          </w:tcPr>
          <w:p w14:paraId="6EC396AB" w14:textId="108FA312" w:rsidR="00893B1E" w:rsidRPr="00B90067" w:rsidRDefault="00893B1E" w:rsidP="00B04713">
            <w:pPr>
              <w:spacing w:before="8" w:after="8"/>
              <w:rPr>
                <w:rFonts w:asciiTheme="majorHAnsi" w:hAnsiTheme="majorHAnsi" w:cstheme="majorHAnsi"/>
                <w:b/>
                <w:bCs/>
                <w:sz w:val="20"/>
                <w:szCs w:val="20"/>
                <w:lang w:val="fr-FR"/>
              </w:rPr>
            </w:pPr>
            <w:r w:rsidRPr="00B90067">
              <w:rPr>
                <w:rFonts w:asciiTheme="majorHAnsi" w:hAnsiTheme="majorHAnsi" w:cstheme="majorHAnsi"/>
                <w:b/>
                <w:bCs/>
                <w:sz w:val="20"/>
                <w:szCs w:val="20"/>
                <w:lang w:val="fr-FR"/>
              </w:rPr>
              <w:t>La lithémie peut-elle être affectée par une infection au COVID-19</w:t>
            </w:r>
          </w:p>
          <w:p w14:paraId="5E32F8A0" w14:textId="77777777" w:rsidR="00DC460D" w:rsidRDefault="00DC460D" w:rsidP="00DC460D">
            <w:pPr>
              <w:spacing w:before="8" w:after="8"/>
              <w:rPr>
                <w:rFonts w:asciiTheme="majorHAnsi" w:hAnsiTheme="majorHAnsi" w:cstheme="majorHAnsi"/>
                <w:sz w:val="20"/>
                <w:szCs w:val="20"/>
              </w:rPr>
            </w:pPr>
            <w:r w:rsidRPr="00796C59">
              <w:rPr>
                <w:rFonts w:asciiTheme="majorHAnsi" w:hAnsiTheme="majorHAnsi" w:cstheme="majorHAnsi"/>
                <w:sz w:val="20"/>
                <w:szCs w:val="20"/>
              </w:rPr>
              <w:t>[</w:t>
            </w:r>
            <w:hyperlink r:id="rId42" w:history="1">
              <w:r w:rsidRPr="00796C59">
                <w:rPr>
                  <w:rStyle w:val="Lienhypertexte"/>
                  <w:rFonts w:asciiTheme="majorHAnsi" w:hAnsiTheme="majorHAnsi" w:cstheme="majorHAnsi"/>
                  <w:sz w:val="20"/>
                  <w:szCs w:val="20"/>
                </w:rPr>
                <w:t>link2</w:t>
              </w:r>
            </w:hyperlink>
            <w:r w:rsidRPr="00796C59">
              <w:rPr>
                <w:rFonts w:asciiTheme="majorHAnsi" w:hAnsiTheme="majorHAnsi" w:cstheme="majorHAnsi"/>
                <w:sz w:val="20"/>
                <w:szCs w:val="20"/>
              </w:rPr>
              <w:t>]</w:t>
            </w:r>
          </w:p>
          <w:p w14:paraId="53123498" w14:textId="77777777" w:rsidR="00FB33A9" w:rsidRDefault="00FB33A9" w:rsidP="00FB33A9">
            <w:pPr>
              <w:spacing w:before="8" w:after="8"/>
              <w:rPr>
                <w:rFonts w:asciiTheme="majorHAnsi" w:hAnsiTheme="majorHAnsi" w:cstheme="majorHAnsi"/>
                <w:sz w:val="20"/>
                <w:szCs w:val="20"/>
              </w:rPr>
            </w:pPr>
            <w:r>
              <w:rPr>
                <w:rFonts w:asciiTheme="majorHAnsi" w:hAnsiTheme="majorHAnsi" w:cstheme="majorHAnsi"/>
                <w:sz w:val="20"/>
                <w:szCs w:val="20"/>
              </w:rPr>
              <w:t>[</w:t>
            </w:r>
            <w:hyperlink r:id="rId43" w:history="1">
              <w:r w:rsidRPr="00970923">
                <w:rPr>
                  <w:rStyle w:val="Lienhypertexte"/>
                  <w:rFonts w:asciiTheme="majorHAnsi" w:hAnsiTheme="majorHAnsi" w:cstheme="majorHAnsi"/>
                  <w:sz w:val="20"/>
                  <w:szCs w:val="20"/>
                </w:rPr>
                <w:t>link3</w:t>
              </w:r>
            </w:hyperlink>
            <w:r>
              <w:rPr>
                <w:rFonts w:asciiTheme="majorHAnsi" w:hAnsiTheme="majorHAnsi" w:cstheme="majorHAnsi"/>
                <w:sz w:val="20"/>
                <w:szCs w:val="20"/>
              </w:rPr>
              <w:t>]</w:t>
            </w:r>
          </w:p>
          <w:p w14:paraId="3F763061" w14:textId="77777777" w:rsidR="00DC460D" w:rsidRDefault="004D380F" w:rsidP="00B04713">
            <w:pPr>
              <w:spacing w:before="8" w:after="8"/>
              <w:rPr>
                <w:rFonts w:asciiTheme="majorHAnsi" w:hAnsiTheme="majorHAnsi" w:cstheme="majorHAnsi"/>
                <w:sz w:val="20"/>
                <w:szCs w:val="20"/>
              </w:rPr>
            </w:pPr>
            <w:r>
              <w:rPr>
                <w:rFonts w:asciiTheme="majorHAnsi" w:hAnsiTheme="majorHAnsi" w:cstheme="majorHAnsi"/>
                <w:sz w:val="20"/>
                <w:szCs w:val="20"/>
              </w:rPr>
              <w:t>[</w:t>
            </w:r>
            <w:hyperlink r:id="rId44" w:history="1">
              <w:r w:rsidRPr="004D380F">
                <w:rPr>
                  <w:rStyle w:val="Lienhypertexte"/>
                  <w:rFonts w:asciiTheme="majorHAnsi" w:hAnsiTheme="majorHAnsi" w:cstheme="majorHAnsi"/>
                  <w:sz w:val="20"/>
                  <w:szCs w:val="20"/>
                </w:rPr>
                <w:t>link4</w:t>
              </w:r>
            </w:hyperlink>
            <w:r>
              <w:rPr>
                <w:rFonts w:asciiTheme="majorHAnsi" w:hAnsiTheme="majorHAnsi" w:cstheme="majorHAnsi"/>
                <w:sz w:val="20"/>
                <w:szCs w:val="20"/>
              </w:rPr>
              <w:t>]</w:t>
            </w:r>
          </w:p>
          <w:p w14:paraId="1F05A5A5" w14:textId="77777777" w:rsidR="004D380F" w:rsidRDefault="001F654E" w:rsidP="00B04713">
            <w:pPr>
              <w:spacing w:before="8" w:after="8"/>
              <w:rPr>
                <w:rStyle w:val="Lienhypertexte"/>
                <w:rFonts w:asciiTheme="majorHAnsi" w:hAnsiTheme="majorHAnsi" w:cstheme="majorHAnsi"/>
                <w:sz w:val="20"/>
                <w:szCs w:val="20"/>
              </w:rPr>
            </w:pPr>
            <w:hyperlink r:id="rId45" w:history="1">
              <w:r w:rsidR="00F61097" w:rsidRPr="00F61097">
                <w:rPr>
                  <w:rStyle w:val="Lienhypertexte"/>
                  <w:rFonts w:asciiTheme="majorHAnsi" w:hAnsiTheme="majorHAnsi" w:cstheme="majorHAnsi"/>
                  <w:sz w:val="20"/>
                  <w:szCs w:val="20"/>
                </w:rPr>
                <w:t>[lien 6b]</w:t>
              </w:r>
            </w:hyperlink>
          </w:p>
          <w:p w14:paraId="36CBD64C" w14:textId="36B07E90" w:rsidR="00EE2623" w:rsidRPr="00F61097" w:rsidRDefault="00EE2623" w:rsidP="00B04713">
            <w:pPr>
              <w:spacing w:before="8" w:after="8"/>
              <w:rPr>
                <w:rFonts w:asciiTheme="majorHAnsi" w:hAnsiTheme="majorHAnsi" w:cstheme="majorHAnsi"/>
                <w:sz w:val="20"/>
                <w:szCs w:val="20"/>
              </w:rPr>
            </w:pPr>
            <w:r>
              <w:rPr>
                <w:rStyle w:val="Lienhypertexte"/>
              </w:rPr>
              <w:t xml:space="preserve">Lien </w:t>
            </w:r>
            <w:hyperlink r:id="rId46" w:history="1">
              <w:proofErr w:type="spellStart"/>
              <w:r w:rsidRPr="00EE2623">
                <w:rPr>
                  <w:rStyle w:val="Lienhypertexte"/>
                </w:rPr>
                <w:t>supplémentaire</w:t>
              </w:r>
              <w:proofErr w:type="spellEnd"/>
            </w:hyperlink>
          </w:p>
        </w:tc>
        <w:tc>
          <w:tcPr>
            <w:tcW w:w="3852" w:type="pct"/>
            <w:tcBorders>
              <w:top w:val="nil"/>
              <w:left w:val="nil"/>
              <w:bottom w:val="nil"/>
              <w:right w:val="single" w:sz="48" w:space="0" w:color="E2F2FF"/>
            </w:tcBorders>
          </w:tcPr>
          <w:p w14:paraId="317E3A6E" w14:textId="47561D36" w:rsidR="00893B1E" w:rsidRPr="00A46EF4" w:rsidRDefault="00893B1E" w:rsidP="003E660E">
            <w:pPr>
              <w:spacing w:before="8" w:after="8" w:line="233" w:lineRule="auto"/>
              <w:rPr>
                <w:rFonts w:asciiTheme="majorHAnsi" w:hAnsiTheme="majorHAnsi" w:cstheme="majorHAnsi"/>
                <w:b/>
                <w:bCs/>
                <w:sz w:val="20"/>
                <w:szCs w:val="20"/>
                <w:u w:val="single"/>
                <w:lang w:val="fr-FR"/>
              </w:rPr>
            </w:pPr>
            <w:r w:rsidRPr="00A46EF4">
              <w:rPr>
                <w:rFonts w:asciiTheme="majorHAnsi" w:hAnsiTheme="majorHAnsi" w:cstheme="majorHAnsi"/>
                <w:b/>
                <w:bCs/>
                <w:sz w:val="20"/>
                <w:szCs w:val="20"/>
                <w:u w:val="single"/>
                <w:lang w:val="fr-FR"/>
              </w:rPr>
              <w:t>Une infection au COVID 19 pourrait avoir un effet sur la f</w:t>
            </w:r>
            <w:r w:rsidR="00BD6F31">
              <w:rPr>
                <w:rFonts w:asciiTheme="majorHAnsi" w:hAnsiTheme="majorHAnsi" w:cstheme="majorHAnsi"/>
                <w:b/>
                <w:bCs/>
                <w:sz w:val="20"/>
                <w:szCs w:val="20"/>
                <w:u w:val="single"/>
                <w:lang w:val="fr-FR"/>
              </w:rPr>
              <w:t>o</w:t>
            </w:r>
            <w:r w:rsidRPr="00A46EF4">
              <w:rPr>
                <w:rFonts w:asciiTheme="majorHAnsi" w:hAnsiTheme="majorHAnsi" w:cstheme="majorHAnsi"/>
                <w:b/>
                <w:bCs/>
                <w:sz w:val="20"/>
                <w:szCs w:val="20"/>
                <w:u w:val="single"/>
                <w:lang w:val="fr-FR"/>
              </w:rPr>
              <w:t xml:space="preserve">nction rénale </w:t>
            </w:r>
          </w:p>
          <w:p w14:paraId="21C3BC21" w14:textId="24559BC7" w:rsidR="00893B1E" w:rsidRPr="00A46EF4" w:rsidRDefault="00893B1E" w:rsidP="003E660E">
            <w:pPr>
              <w:spacing w:before="8" w:after="8" w:line="233" w:lineRule="auto"/>
              <w:rPr>
                <w:rFonts w:asciiTheme="majorHAnsi" w:hAnsiTheme="majorHAnsi" w:cstheme="majorHAnsi"/>
                <w:sz w:val="20"/>
                <w:szCs w:val="20"/>
                <w:lang w:val="fr-FR"/>
              </w:rPr>
            </w:pPr>
            <w:r w:rsidRPr="00A46EF4">
              <w:rPr>
                <w:rFonts w:asciiTheme="majorHAnsi" w:hAnsiTheme="majorHAnsi" w:cstheme="majorHAnsi"/>
                <w:sz w:val="20"/>
                <w:szCs w:val="20"/>
                <w:lang w:val="fr-FR"/>
              </w:rPr>
              <w:t xml:space="preserve">Des </w:t>
            </w:r>
            <w:hyperlink r:id="rId47" w:history="1">
              <w:r w:rsidRPr="00B4415E">
                <w:rPr>
                  <w:rStyle w:val="Lienhypertexte"/>
                  <w:rFonts w:asciiTheme="majorHAnsi" w:hAnsiTheme="majorHAnsi" w:cstheme="majorHAnsi"/>
                  <w:sz w:val="20"/>
                  <w:szCs w:val="20"/>
                  <w:lang w:val="fr-FR"/>
                </w:rPr>
                <w:t>publications récentes</w:t>
              </w:r>
              <w:r w:rsidR="007C60D4" w:rsidRPr="00B4415E">
                <w:rPr>
                  <w:rStyle w:val="Lienhypertexte"/>
                  <w:rFonts w:asciiTheme="majorHAnsi" w:hAnsiTheme="majorHAnsi" w:cstheme="majorHAnsi"/>
                  <w:sz w:val="20"/>
                  <w:szCs w:val="20"/>
                  <w:lang w:val="fr-FR"/>
                </w:rPr>
                <w:t xml:space="preserve"> chinoises</w:t>
              </w:r>
            </w:hyperlink>
            <w:r w:rsidRPr="00A46EF4">
              <w:rPr>
                <w:rFonts w:asciiTheme="majorHAnsi" w:hAnsiTheme="majorHAnsi" w:cstheme="majorHAnsi"/>
                <w:sz w:val="20"/>
                <w:szCs w:val="20"/>
                <w:lang w:val="fr-FR"/>
              </w:rPr>
              <w:t xml:space="preserve"> </w:t>
            </w:r>
            <w:r w:rsidR="007C60D4" w:rsidRPr="00A46EF4">
              <w:rPr>
                <w:rFonts w:asciiTheme="majorHAnsi" w:hAnsiTheme="majorHAnsi" w:cstheme="majorHAnsi"/>
                <w:sz w:val="20"/>
                <w:szCs w:val="20"/>
                <w:lang w:val="fr-FR"/>
              </w:rPr>
              <w:t>sug</w:t>
            </w:r>
            <w:r w:rsidR="00374AD2" w:rsidRPr="00A46EF4">
              <w:rPr>
                <w:rFonts w:asciiTheme="majorHAnsi" w:hAnsiTheme="majorHAnsi" w:cstheme="majorHAnsi"/>
                <w:sz w:val="20"/>
                <w:szCs w:val="20"/>
                <w:lang w:val="fr-FR"/>
              </w:rPr>
              <w:t>gèrent</w:t>
            </w:r>
            <w:r w:rsidRPr="00A46EF4">
              <w:rPr>
                <w:rFonts w:asciiTheme="majorHAnsi" w:hAnsiTheme="majorHAnsi" w:cstheme="majorHAnsi"/>
                <w:sz w:val="20"/>
                <w:szCs w:val="20"/>
                <w:lang w:val="fr-FR"/>
              </w:rPr>
              <w:t xml:space="preserve"> que</w:t>
            </w:r>
            <w:r w:rsidR="007C60D4" w:rsidRPr="00A46EF4">
              <w:rPr>
                <w:rFonts w:asciiTheme="majorHAnsi" w:hAnsiTheme="majorHAnsi" w:cstheme="majorHAnsi"/>
                <w:sz w:val="20"/>
                <w:szCs w:val="20"/>
                <w:lang w:val="fr-FR"/>
              </w:rPr>
              <w:t xml:space="preserve"> chez les patients atteints du  COVID-19</w:t>
            </w:r>
            <w:r w:rsidRPr="00A46EF4">
              <w:rPr>
                <w:rFonts w:asciiTheme="majorHAnsi" w:hAnsiTheme="majorHAnsi" w:cstheme="majorHAnsi"/>
                <w:sz w:val="20"/>
                <w:szCs w:val="20"/>
                <w:lang w:val="fr-FR"/>
              </w:rPr>
              <w:t xml:space="preserve"> «les maladies rénales à l'admission et les lésions rénales aiguës pendant l'hospitalisation étaient associées à un risque accru de décès à l'hôpital». Par conséquent, l'effet possible du lithium sur la fonction rénale doit être pris en compte </w:t>
            </w:r>
            <w:r w:rsidR="00B4415E">
              <w:rPr>
                <w:rFonts w:asciiTheme="majorHAnsi" w:hAnsiTheme="majorHAnsi" w:cstheme="majorHAnsi"/>
                <w:sz w:val="20"/>
                <w:szCs w:val="20"/>
                <w:lang w:val="fr-FR"/>
              </w:rPr>
              <w:t>chez les patients atteints de COVID-19</w:t>
            </w:r>
            <w:r w:rsidRPr="00A46EF4">
              <w:rPr>
                <w:rFonts w:asciiTheme="majorHAnsi" w:hAnsiTheme="majorHAnsi" w:cstheme="majorHAnsi"/>
                <w:sz w:val="20"/>
                <w:szCs w:val="20"/>
                <w:lang w:val="fr-FR"/>
              </w:rPr>
              <w:t>.</w:t>
            </w:r>
          </w:p>
          <w:p w14:paraId="1E004B7E" w14:textId="0C5CDF0B" w:rsidR="007C60D4" w:rsidRPr="00A46EF4" w:rsidRDefault="007C60D4" w:rsidP="003E660E">
            <w:pPr>
              <w:spacing w:before="8" w:after="8" w:line="233" w:lineRule="auto"/>
              <w:rPr>
                <w:rFonts w:asciiTheme="majorHAnsi" w:hAnsiTheme="majorHAnsi" w:cstheme="majorHAnsi"/>
                <w:sz w:val="20"/>
                <w:szCs w:val="20"/>
                <w:lang w:val="fr-FR"/>
              </w:rPr>
            </w:pPr>
          </w:p>
          <w:p w14:paraId="61E55A4C" w14:textId="421AF667" w:rsidR="007C60D4" w:rsidRDefault="007C60D4" w:rsidP="003E660E">
            <w:pPr>
              <w:spacing w:before="8" w:after="8" w:line="233" w:lineRule="auto"/>
              <w:rPr>
                <w:rFonts w:asciiTheme="majorHAnsi" w:hAnsiTheme="majorHAnsi" w:cstheme="majorHAnsi"/>
                <w:b/>
                <w:bCs/>
                <w:sz w:val="20"/>
                <w:szCs w:val="20"/>
                <w:u w:val="single"/>
                <w:lang w:val="fr-FR"/>
              </w:rPr>
            </w:pPr>
            <w:r w:rsidRPr="00A46EF4">
              <w:rPr>
                <w:rFonts w:asciiTheme="majorHAnsi" w:hAnsiTheme="majorHAnsi" w:cstheme="majorHAnsi"/>
                <w:b/>
                <w:bCs/>
                <w:sz w:val="20"/>
                <w:szCs w:val="20"/>
                <w:u w:val="single"/>
                <w:lang w:val="fr-FR"/>
              </w:rPr>
              <w:t xml:space="preserve">Interactions médicamenteuses possible </w:t>
            </w:r>
          </w:p>
          <w:p w14:paraId="02C7DB4B" w14:textId="174A095B" w:rsidR="000362F7" w:rsidRDefault="00681190" w:rsidP="003E660E">
            <w:pPr>
              <w:pStyle w:val="Paragraphedeliste"/>
              <w:numPr>
                <w:ilvl w:val="0"/>
                <w:numId w:val="33"/>
              </w:numPr>
              <w:spacing w:before="8" w:after="8" w:line="233" w:lineRule="auto"/>
              <w:rPr>
                <w:rFonts w:asciiTheme="majorHAnsi" w:hAnsiTheme="majorHAnsi" w:cstheme="majorHAnsi"/>
                <w:sz w:val="20"/>
                <w:szCs w:val="20"/>
                <w:lang w:val="fr-FR"/>
              </w:rPr>
            </w:pPr>
            <w:r>
              <w:rPr>
                <w:rFonts w:asciiTheme="majorHAnsi" w:hAnsiTheme="majorHAnsi" w:cstheme="majorHAnsi"/>
                <w:sz w:val="20"/>
                <w:szCs w:val="20"/>
                <w:lang w:val="fr-FR"/>
              </w:rPr>
              <w:t>Bien que ces associations soient déconseillées, c</w:t>
            </w:r>
            <w:r w:rsidR="000362F7" w:rsidRPr="000362F7">
              <w:rPr>
                <w:rFonts w:asciiTheme="majorHAnsi" w:hAnsiTheme="majorHAnsi" w:cstheme="majorHAnsi"/>
                <w:sz w:val="20"/>
                <w:szCs w:val="20"/>
                <w:lang w:val="fr-FR"/>
              </w:rPr>
              <w:t>ertains patients sous lithium sont aussi sous AINS ou inhibiteurs de l’enzyme de conversion (IEC) au long cours pour d’autres pathologies. En cas d’infection COVID-19, il peut être décidé d’arrêter les AINS ou les IEC. L’arrêt de ces traitements peut causer une diminution de la lithémie.</w:t>
            </w:r>
          </w:p>
          <w:p w14:paraId="1F6B9B32" w14:textId="11C99C44" w:rsidR="000362F7" w:rsidRPr="000362F7" w:rsidRDefault="000362F7" w:rsidP="003E660E">
            <w:pPr>
              <w:pStyle w:val="Paragraphedeliste"/>
              <w:numPr>
                <w:ilvl w:val="0"/>
                <w:numId w:val="33"/>
              </w:numPr>
              <w:spacing w:before="8" w:after="8" w:line="233" w:lineRule="auto"/>
              <w:rPr>
                <w:rFonts w:asciiTheme="majorHAnsi" w:hAnsiTheme="majorHAnsi" w:cstheme="majorHAnsi"/>
                <w:sz w:val="20"/>
                <w:szCs w:val="20"/>
                <w:lang w:val="fr-FR"/>
              </w:rPr>
            </w:pPr>
            <w:r w:rsidRPr="000362F7">
              <w:rPr>
                <w:rFonts w:asciiTheme="majorHAnsi" w:hAnsiTheme="majorHAnsi" w:cstheme="majorHAnsi"/>
                <w:sz w:val="20"/>
                <w:szCs w:val="20"/>
                <w:lang w:val="fr-FR"/>
              </w:rPr>
              <w:t xml:space="preserve"> </w:t>
            </w:r>
            <w:r>
              <w:rPr>
                <w:rFonts w:asciiTheme="majorHAnsi" w:hAnsiTheme="majorHAnsi" w:cstheme="majorHAnsi"/>
                <w:sz w:val="20"/>
                <w:szCs w:val="20"/>
                <w:lang w:val="fr-FR"/>
              </w:rPr>
              <w:t>Prévenir le risque d’interactions et/ou de surdosage entre le lithium et les traitements du COVID-19</w:t>
            </w:r>
          </w:p>
          <w:p w14:paraId="59CED496" w14:textId="6EBE5B07" w:rsidR="007C60D4" w:rsidRPr="00A46EF4" w:rsidRDefault="007C60D4" w:rsidP="003E660E">
            <w:pPr>
              <w:spacing w:before="8" w:after="8" w:line="233" w:lineRule="auto"/>
              <w:rPr>
                <w:rFonts w:asciiTheme="majorHAnsi" w:hAnsiTheme="majorHAnsi" w:cstheme="majorHAnsi"/>
                <w:b/>
                <w:bCs/>
                <w:sz w:val="20"/>
                <w:szCs w:val="20"/>
                <w:u w:val="single"/>
                <w:lang w:val="fr-FR"/>
              </w:rPr>
            </w:pPr>
          </w:p>
          <w:p w14:paraId="75B7644C" w14:textId="4EF1DB61" w:rsidR="007C60D4" w:rsidRPr="00A46EF4" w:rsidRDefault="007C60D4" w:rsidP="007C60D4">
            <w:pPr>
              <w:spacing w:before="8" w:after="8" w:line="233" w:lineRule="auto"/>
              <w:rPr>
                <w:rFonts w:asciiTheme="majorHAnsi" w:hAnsiTheme="majorHAnsi" w:cstheme="majorHAnsi"/>
                <w:b/>
                <w:bCs/>
                <w:sz w:val="20"/>
                <w:szCs w:val="20"/>
                <w:u w:val="single"/>
                <w:lang w:val="fr-FR"/>
              </w:rPr>
            </w:pPr>
            <w:r w:rsidRPr="00A46EF4">
              <w:rPr>
                <w:rFonts w:asciiTheme="majorHAnsi" w:hAnsiTheme="majorHAnsi" w:cstheme="majorHAnsi"/>
                <w:b/>
                <w:bCs/>
                <w:sz w:val="20"/>
                <w:szCs w:val="20"/>
                <w:u w:val="single"/>
                <w:lang w:val="fr-FR"/>
              </w:rPr>
              <w:t>Déshydratation, apport hydrique et alimentation</w:t>
            </w:r>
          </w:p>
          <w:p w14:paraId="7AFA3317" w14:textId="3C20A2D4" w:rsidR="00BD6F31" w:rsidRDefault="007C60D4" w:rsidP="007C60D4">
            <w:pPr>
              <w:pStyle w:val="Paragraphedeliste"/>
              <w:numPr>
                <w:ilvl w:val="0"/>
                <w:numId w:val="29"/>
              </w:numPr>
              <w:spacing w:before="8" w:after="8" w:line="233" w:lineRule="auto"/>
              <w:ind w:left="245"/>
              <w:rPr>
                <w:rFonts w:asciiTheme="majorHAnsi" w:hAnsiTheme="majorHAnsi" w:cstheme="majorHAnsi"/>
                <w:sz w:val="20"/>
                <w:szCs w:val="20"/>
                <w:lang w:val="fr-FR"/>
              </w:rPr>
            </w:pPr>
            <w:r w:rsidRPr="00BD6F31">
              <w:rPr>
                <w:rFonts w:asciiTheme="majorHAnsi" w:hAnsiTheme="majorHAnsi" w:cstheme="majorHAnsi"/>
                <w:sz w:val="20"/>
                <w:szCs w:val="20"/>
                <w:lang w:val="fr-FR"/>
              </w:rPr>
              <w:t xml:space="preserve">La déshydratation </w:t>
            </w:r>
            <w:r w:rsidR="000362F7">
              <w:rPr>
                <w:rFonts w:asciiTheme="majorHAnsi" w:hAnsiTheme="majorHAnsi" w:cstheme="majorHAnsi"/>
                <w:sz w:val="20"/>
                <w:szCs w:val="20"/>
                <w:lang w:val="fr-FR"/>
              </w:rPr>
              <w:t xml:space="preserve">ou la réduction des apports hydriques </w:t>
            </w:r>
            <w:r w:rsidRPr="00BD6F31">
              <w:rPr>
                <w:rFonts w:asciiTheme="majorHAnsi" w:hAnsiTheme="majorHAnsi" w:cstheme="majorHAnsi"/>
                <w:sz w:val="20"/>
                <w:szCs w:val="20"/>
                <w:lang w:val="fr-FR"/>
              </w:rPr>
              <w:t xml:space="preserve">est une cause importante de toxicité au lithium. Les patients atteints de COVID-19 peuvent </w:t>
            </w:r>
            <w:r w:rsidR="006204E7">
              <w:rPr>
                <w:rFonts w:asciiTheme="majorHAnsi" w:hAnsiTheme="majorHAnsi" w:cstheme="majorHAnsi"/>
                <w:sz w:val="20"/>
                <w:szCs w:val="20"/>
                <w:lang w:val="fr-FR"/>
              </w:rPr>
              <w:t xml:space="preserve">avoir </w:t>
            </w:r>
            <w:r w:rsidRPr="00BD6F31">
              <w:rPr>
                <w:rFonts w:asciiTheme="majorHAnsi" w:hAnsiTheme="majorHAnsi" w:cstheme="majorHAnsi"/>
                <w:sz w:val="20"/>
                <w:szCs w:val="20"/>
                <w:lang w:val="fr-FR"/>
              </w:rPr>
              <w:t xml:space="preserve">de la fièvre et donc présenter un risque de déshydratation. Les vomissements, la diarrhée et l'infection (en particulier en cas de transpiration abondante) peuvent nécessiter une réduction de la dose ou l'arrêt </w:t>
            </w:r>
            <w:r w:rsidR="006204E7">
              <w:rPr>
                <w:rFonts w:asciiTheme="majorHAnsi" w:hAnsiTheme="majorHAnsi" w:cstheme="majorHAnsi"/>
                <w:sz w:val="20"/>
                <w:szCs w:val="20"/>
                <w:lang w:val="fr-FR"/>
              </w:rPr>
              <w:t xml:space="preserve">du </w:t>
            </w:r>
            <w:r w:rsidR="00433ED1">
              <w:rPr>
                <w:rFonts w:asciiTheme="majorHAnsi" w:hAnsiTheme="majorHAnsi" w:cstheme="majorHAnsi"/>
                <w:sz w:val="20"/>
                <w:szCs w:val="20"/>
                <w:lang w:val="fr-FR"/>
              </w:rPr>
              <w:t>lithium</w:t>
            </w:r>
            <w:r w:rsidR="00433ED1" w:rsidRPr="00BD6F31">
              <w:rPr>
                <w:rFonts w:asciiTheme="majorHAnsi" w:hAnsiTheme="majorHAnsi" w:cstheme="majorHAnsi"/>
                <w:sz w:val="20"/>
                <w:szCs w:val="20"/>
                <w:lang w:val="fr-FR"/>
              </w:rPr>
              <w:t xml:space="preserve"> (</w:t>
            </w:r>
            <w:r w:rsidRPr="00BD6F31">
              <w:rPr>
                <w:rFonts w:asciiTheme="majorHAnsi" w:hAnsiTheme="majorHAnsi" w:cstheme="majorHAnsi"/>
                <w:sz w:val="20"/>
                <w:szCs w:val="20"/>
                <w:lang w:val="fr-FR"/>
              </w:rPr>
              <w:t>voir ci-dessus).</w:t>
            </w:r>
          </w:p>
          <w:p w14:paraId="452D8014" w14:textId="77777777" w:rsidR="00BD6F31" w:rsidRDefault="007C60D4" w:rsidP="007C60D4">
            <w:pPr>
              <w:pStyle w:val="Paragraphedeliste"/>
              <w:numPr>
                <w:ilvl w:val="0"/>
                <w:numId w:val="29"/>
              </w:numPr>
              <w:spacing w:before="8" w:after="8" w:line="233" w:lineRule="auto"/>
              <w:ind w:left="245"/>
              <w:rPr>
                <w:rFonts w:asciiTheme="majorHAnsi" w:hAnsiTheme="majorHAnsi" w:cstheme="majorHAnsi"/>
                <w:sz w:val="20"/>
                <w:szCs w:val="20"/>
                <w:lang w:val="fr-FR"/>
              </w:rPr>
            </w:pPr>
            <w:r w:rsidRPr="00BD6F31">
              <w:rPr>
                <w:rFonts w:asciiTheme="majorHAnsi" w:hAnsiTheme="majorHAnsi" w:cstheme="majorHAnsi"/>
                <w:sz w:val="20"/>
                <w:szCs w:val="20"/>
                <w:lang w:val="fr-FR"/>
              </w:rPr>
              <w:t>Rappelez à tous les patients de maintenir leur apport hydrique, en particulier s'ils ont de la fièvre, s'ils sont immobiles pendant de longues périodes ou s'ils développent une infection pulmonaire ou une pneumonie.</w:t>
            </w:r>
          </w:p>
          <w:p w14:paraId="17B701E6" w14:textId="419FE911" w:rsidR="007C60D4" w:rsidRPr="00BD6F31" w:rsidRDefault="007C60D4" w:rsidP="007C60D4">
            <w:pPr>
              <w:pStyle w:val="Paragraphedeliste"/>
              <w:numPr>
                <w:ilvl w:val="0"/>
                <w:numId w:val="29"/>
              </w:numPr>
              <w:spacing w:before="8" w:after="8" w:line="233" w:lineRule="auto"/>
              <w:ind w:left="245"/>
              <w:rPr>
                <w:rFonts w:asciiTheme="majorHAnsi" w:hAnsiTheme="majorHAnsi" w:cstheme="majorHAnsi"/>
                <w:sz w:val="20"/>
                <w:szCs w:val="20"/>
                <w:lang w:val="fr-FR"/>
              </w:rPr>
            </w:pPr>
            <w:r w:rsidRPr="00BD6F31">
              <w:rPr>
                <w:rFonts w:asciiTheme="majorHAnsi" w:hAnsiTheme="majorHAnsi" w:cstheme="majorHAnsi"/>
                <w:sz w:val="20"/>
                <w:szCs w:val="20"/>
                <w:lang w:val="fr-FR"/>
              </w:rPr>
              <w:t xml:space="preserve">Les patients confinés à la maison peuvent modifier </w:t>
            </w:r>
            <w:r w:rsidR="000362F7">
              <w:rPr>
                <w:rFonts w:asciiTheme="majorHAnsi" w:hAnsiTheme="majorHAnsi" w:cstheme="majorHAnsi"/>
                <w:sz w:val="20"/>
                <w:szCs w:val="20"/>
                <w:lang w:val="fr-FR"/>
              </w:rPr>
              <w:t xml:space="preserve">significativement </w:t>
            </w:r>
            <w:r w:rsidRPr="00BD6F31">
              <w:rPr>
                <w:rFonts w:asciiTheme="majorHAnsi" w:hAnsiTheme="majorHAnsi" w:cstheme="majorHAnsi"/>
                <w:sz w:val="20"/>
                <w:szCs w:val="20"/>
                <w:lang w:val="fr-FR"/>
              </w:rPr>
              <w:t>leur alimentation et donc leur apport en sodium, ce qui pourrait également avoir un impact sur l</w:t>
            </w:r>
            <w:r w:rsidR="00374AD2" w:rsidRPr="00BD6F31">
              <w:rPr>
                <w:rFonts w:asciiTheme="majorHAnsi" w:hAnsiTheme="majorHAnsi" w:cstheme="majorHAnsi"/>
                <w:sz w:val="20"/>
                <w:szCs w:val="20"/>
                <w:lang w:val="fr-FR"/>
              </w:rPr>
              <w:t>a lithémie</w:t>
            </w:r>
          </w:p>
          <w:p w14:paraId="44E8E74B" w14:textId="06D0B076" w:rsidR="00B4230B" w:rsidRPr="00433ED1" w:rsidRDefault="00B4230B" w:rsidP="000362F7">
            <w:pPr>
              <w:spacing w:before="8" w:after="8" w:line="233" w:lineRule="auto"/>
              <w:rPr>
                <w:rFonts w:asciiTheme="majorHAnsi" w:hAnsiTheme="majorHAnsi" w:cstheme="majorHAnsi"/>
                <w:sz w:val="20"/>
                <w:szCs w:val="20"/>
                <w:lang w:val="fr-BE"/>
              </w:rPr>
            </w:pPr>
          </w:p>
        </w:tc>
      </w:tr>
      <w:tr w:rsidR="00DC460D" w:rsidRPr="00EE2623" w14:paraId="2D35E203" w14:textId="77777777" w:rsidTr="00DC460D">
        <w:tc>
          <w:tcPr>
            <w:tcW w:w="1148" w:type="pct"/>
            <w:tcBorders>
              <w:top w:val="nil"/>
              <w:left w:val="single" w:sz="48" w:space="0" w:color="E2F2FF"/>
              <w:bottom w:val="nil"/>
              <w:right w:val="nil"/>
            </w:tcBorders>
            <w:shd w:val="clear" w:color="auto" w:fill="E0F2FF"/>
          </w:tcPr>
          <w:p w14:paraId="00C6AC30" w14:textId="13757CD4" w:rsidR="00E95D43" w:rsidRPr="00B90067" w:rsidRDefault="00E95D43" w:rsidP="00B04713">
            <w:pPr>
              <w:spacing w:before="8" w:after="8"/>
              <w:rPr>
                <w:rFonts w:asciiTheme="majorHAnsi" w:hAnsiTheme="majorHAnsi" w:cstheme="majorHAnsi"/>
                <w:b/>
                <w:bCs/>
                <w:sz w:val="20"/>
                <w:szCs w:val="20"/>
                <w:lang w:val="fr-FR"/>
              </w:rPr>
            </w:pPr>
            <w:r w:rsidRPr="00B90067">
              <w:rPr>
                <w:rFonts w:asciiTheme="majorHAnsi" w:hAnsiTheme="majorHAnsi" w:cstheme="majorHAnsi"/>
                <w:b/>
                <w:bCs/>
                <w:sz w:val="20"/>
                <w:szCs w:val="20"/>
                <w:lang w:val="fr-FR"/>
              </w:rPr>
              <w:lastRenderedPageBreak/>
              <w:t xml:space="preserve">Les patients traités </w:t>
            </w:r>
            <w:r w:rsidR="006204E7">
              <w:rPr>
                <w:rFonts w:asciiTheme="majorHAnsi" w:hAnsiTheme="majorHAnsi" w:cstheme="majorHAnsi"/>
                <w:b/>
                <w:bCs/>
                <w:sz w:val="20"/>
                <w:szCs w:val="20"/>
                <w:lang w:val="fr-FR"/>
              </w:rPr>
              <w:t>par</w:t>
            </w:r>
            <w:r w:rsidRPr="00B90067">
              <w:rPr>
                <w:rFonts w:asciiTheme="majorHAnsi" w:hAnsiTheme="majorHAnsi" w:cstheme="majorHAnsi"/>
                <w:b/>
                <w:bCs/>
                <w:sz w:val="20"/>
                <w:szCs w:val="20"/>
                <w:lang w:val="fr-FR"/>
              </w:rPr>
              <w:t xml:space="preserve"> lithium sont-ils plus à risque de COVID-</w:t>
            </w:r>
            <w:proofErr w:type="gramStart"/>
            <w:r w:rsidRPr="00B90067">
              <w:rPr>
                <w:rFonts w:asciiTheme="majorHAnsi" w:hAnsiTheme="majorHAnsi" w:cstheme="majorHAnsi"/>
                <w:b/>
                <w:bCs/>
                <w:sz w:val="20"/>
                <w:szCs w:val="20"/>
                <w:lang w:val="fr-FR"/>
              </w:rPr>
              <w:t>19?</w:t>
            </w:r>
            <w:proofErr w:type="gramEnd"/>
          </w:p>
          <w:p w14:paraId="4F363FC8" w14:textId="77777777" w:rsidR="00DC460D" w:rsidRDefault="00DC460D" w:rsidP="00DC460D">
            <w:pPr>
              <w:spacing w:before="8" w:after="8"/>
              <w:rPr>
                <w:rFonts w:asciiTheme="majorHAnsi" w:hAnsiTheme="majorHAnsi" w:cstheme="majorHAnsi"/>
                <w:sz w:val="20"/>
                <w:szCs w:val="20"/>
              </w:rPr>
            </w:pPr>
            <w:r w:rsidRPr="00796C59">
              <w:rPr>
                <w:rFonts w:asciiTheme="majorHAnsi" w:hAnsiTheme="majorHAnsi" w:cstheme="majorHAnsi"/>
                <w:sz w:val="20"/>
                <w:szCs w:val="20"/>
              </w:rPr>
              <w:t>[</w:t>
            </w:r>
            <w:hyperlink r:id="rId48" w:history="1">
              <w:r w:rsidRPr="00796C59">
                <w:rPr>
                  <w:rStyle w:val="Lienhypertexte"/>
                  <w:rFonts w:asciiTheme="majorHAnsi" w:hAnsiTheme="majorHAnsi" w:cstheme="majorHAnsi"/>
                  <w:sz w:val="20"/>
                  <w:szCs w:val="20"/>
                </w:rPr>
                <w:t>link2</w:t>
              </w:r>
            </w:hyperlink>
            <w:r w:rsidRPr="00796C59">
              <w:rPr>
                <w:rFonts w:asciiTheme="majorHAnsi" w:hAnsiTheme="majorHAnsi" w:cstheme="majorHAnsi"/>
                <w:sz w:val="20"/>
                <w:szCs w:val="20"/>
              </w:rPr>
              <w:t>]</w:t>
            </w:r>
          </w:p>
          <w:p w14:paraId="6EFE40BC" w14:textId="2C84F99F" w:rsidR="00DC460D" w:rsidRPr="00796C59" w:rsidRDefault="00DC460D" w:rsidP="00B04713">
            <w:pPr>
              <w:spacing w:before="8" w:after="8"/>
              <w:rPr>
                <w:rFonts w:asciiTheme="majorHAnsi" w:hAnsiTheme="majorHAnsi" w:cstheme="majorHAnsi"/>
                <w:b/>
                <w:bCs/>
                <w:sz w:val="20"/>
                <w:szCs w:val="20"/>
              </w:rPr>
            </w:pPr>
          </w:p>
        </w:tc>
        <w:tc>
          <w:tcPr>
            <w:tcW w:w="3852" w:type="pct"/>
            <w:tcBorders>
              <w:top w:val="nil"/>
              <w:left w:val="nil"/>
              <w:bottom w:val="nil"/>
              <w:right w:val="single" w:sz="48" w:space="0" w:color="E2F2FF"/>
            </w:tcBorders>
            <w:shd w:val="clear" w:color="auto" w:fill="E0F2FF"/>
          </w:tcPr>
          <w:p w14:paraId="69D481C6" w14:textId="72145D4D" w:rsidR="00E95D43" w:rsidRPr="00BD6F31" w:rsidRDefault="00681190" w:rsidP="00E95D43">
            <w:pPr>
              <w:spacing w:before="8" w:after="8" w:line="233" w:lineRule="auto"/>
              <w:rPr>
                <w:rFonts w:asciiTheme="majorHAnsi" w:hAnsiTheme="majorHAnsi" w:cstheme="majorHAnsi"/>
                <w:sz w:val="20"/>
                <w:szCs w:val="20"/>
                <w:lang w:val="fr-FR"/>
              </w:rPr>
            </w:pPr>
            <w:r>
              <w:rPr>
                <w:rFonts w:asciiTheme="majorHAnsi" w:hAnsiTheme="majorHAnsi" w:cstheme="majorHAnsi"/>
                <w:sz w:val="20"/>
                <w:szCs w:val="20"/>
                <w:lang w:val="fr-FR"/>
              </w:rPr>
              <w:t xml:space="preserve">A ce jour, il n’existe </w:t>
            </w:r>
            <w:r w:rsidR="006204E7">
              <w:rPr>
                <w:rFonts w:asciiTheme="majorHAnsi" w:hAnsiTheme="majorHAnsi" w:cstheme="majorHAnsi"/>
                <w:sz w:val="20"/>
                <w:szCs w:val="20"/>
                <w:lang w:val="fr-FR"/>
              </w:rPr>
              <w:t xml:space="preserve">aucun argument montrant </w:t>
            </w:r>
            <w:r>
              <w:rPr>
                <w:rFonts w:asciiTheme="majorHAnsi" w:hAnsiTheme="majorHAnsi" w:cstheme="majorHAnsi"/>
                <w:sz w:val="20"/>
                <w:szCs w:val="20"/>
                <w:lang w:val="fr-FR"/>
              </w:rPr>
              <w:t>que</w:t>
            </w:r>
            <w:r w:rsidR="00E95D43" w:rsidRPr="00BD6F31">
              <w:rPr>
                <w:rFonts w:asciiTheme="majorHAnsi" w:hAnsiTheme="majorHAnsi" w:cstheme="majorHAnsi"/>
                <w:sz w:val="20"/>
                <w:szCs w:val="20"/>
                <w:lang w:val="fr-FR"/>
              </w:rPr>
              <w:t xml:space="preserve"> le lithium augmente le risque de développer des infections des voies respiratoires ou des complications telles que la pneumonie.</w:t>
            </w:r>
          </w:p>
          <w:p w14:paraId="2B06569F" w14:textId="072C552D" w:rsidR="00DC460D" w:rsidRPr="00681190" w:rsidRDefault="00DC460D" w:rsidP="00681190">
            <w:pPr>
              <w:spacing w:before="8" w:after="8" w:line="233" w:lineRule="auto"/>
              <w:rPr>
                <w:rFonts w:asciiTheme="majorHAnsi" w:hAnsiTheme="majorHAnsi" w:cstheme="majorHAnsi"/>
                <w:sz w:val="20"/>
                <w:szCs w:val="20"/>
                <w:lang w:val="fr-FR"/>
              </w:rPr>
            </w:pPr>
          </w:p>
        </w:tc>
      </w:tr>
      <w:tr w:rsidR="00B04713" w:rsidRPr="00EE2623" w14:paraId="25C09D0A" w14:textId="77777777" w:rsidTr="00D54077">
        <w:tc>
          <w:tcPr>
            <w:tcW w:w="5000" w:type="pct"/>
            <w:gridSpan w:val="2"/>
            <w:tcBorders>
              <w:top w:val="nil"/>
              <w:left w:val="single" w:sz="48" w:space="0" w:color="E2F2FF"/>
              <w:bottom w:val="nil"/>
              <w:right w:val="single" w:sz="48" w:space="0" w:color="E2F2FF"/>
            </w:tcBorders>
            <w:shd w:val="clear" w:color="auto" w:fill="002147"/>
          </w:tcPr>
          <w:p w14:paraId="0C688FE8" w14:textId="14CD4F22" w:rsidR="00B4230B" w:rsidRPr="005B4A40" w:rsidRDefault="005B4A40" w:rsidP="003E660E">
            <w:pPr>
              <w:spacing w:before="8" w:after="8" w:line="233" w:lineRule="auto"/>
              <w:rPr>
                <w:rFonts w:asciiTheme="majorHAnsi" w:hAnsiTheme="majorHAnsi" w:cstheme="majorHAnsi"/>
                <w:b/>
                <w:bCs/>
                <w:sz w:val="20"/>
                <w:szCs w:val="20"/>
                <w:lang w:val="fr-FR"/>
              </w:rPr>
            </w:pPr>
            <w:r w:rsidRPr="005B4A40">
              <w:rPr>
                <w:rFonts w:asciiTheme="majorHAnsi" w:hAnsiTheme="majorHAnsi" w:cstheme="majorHAnsi"/>
                <w:b/>
                <w:bCs/>
                <w:sz w:val="20"/>
                <w:szCs w:val="20"/>
                <w:lang w:val="fr-FR"/>
              </w:rPr>
              <w:t>Gérer les difficultés de l</w:t>
            </w:r>
            <w:r>
              <w:rPr>
                <w:rFonts w:asciiTheme="majorHAnsi" w:hAnsiTheme="majorHAnsi" w:cstheme="majorHAnsi"/>
                <w:b/>
                <w:bCs/>
                <w:sz w:val="20"/>
                <w:szCs w:val="20"/>
                <w:lang w:val="fr-FR"/>
              </w:rPr>
              <w:t>a surveillance de la lithémie en contexte de pandémie</w:t>
            </w:r>
          </w:p>
        </w:tc>
      </w:tr>
      <w:tr w:rsidR="00B04713" w:rsidRPr="00EE2623" w14:paraId="3718C49F" w14:textId="77777777" w:rsidTr="00FB736C">
        <w:tc>
          <w:tcPr>
            <w:tcW w:w="1148" w:type="pct"/>
            <w:tcBorders>
              <w:top w:val="nil"/>
              <w:left w:val="single" w:sz="48" w:space="0" w:color="E2F2FF"/>
              <w:bottom w:val="nil"/>
              <w:right w:val="nil"/>
            </w:tcBorders>
            <w:shd w:val="clear" w:color="auto" w:fill="FFFFFF" w:themeFill="background1"/>
          </w:tcPr>
          <w:p w14:paraId="11ED9B8A" w14:textId="27EC11E6" w:rsidR="00B4230B" w:rsidRPr="005B4A40" w:rsidRDefault="005B4A40" w:rsidP="00B04713">
            <w:pPr>
              <w:spacing w:before="8" w:after="8"/>
              <w:rPr>
                <w:rFonts w:asciiTheme="majorHAnsi" w:hAnsiTheme="majorHAnsi" w:cstheme="majorHAnsi"/>
                <w:b/>
                <w:bCs/>
                <w:sz w:val="20"/>
                <w:szCs w:val="20"/>
                <w:lang w:val="fr-FR"/>
              </w:rPr>
            </w:pPr>
            <w:r w:rsidRPr="005B4A40">
              <w:rPr>
                <w:rFonts w:asciiTheme="majorHAnsi" w:hAnsiTheme="majorHAnsi" w:cstheme="majorHAnsi"/>
                <w:b/>
                <w:bCs/>
                <w:sz w:val="20"/>
                <w:szCs w:val="20"/>
                <w:lang w:val="fr-FR"/>
              </w:rPr>
              <w:t xml:space="preserve">Peut-on </w:t>
            </w:r>
            <w:r>
              <w:rPr>
                <w:rFonts w:asciiTheme="majorHAnsi" w:hAnsiTheme="majorHAnsi" w:cstheme="majorHAnsi"/>
                <w:b/>
                <w:bCs/>
                <w:sz w:val="20"/>
                <w:szCs w:val="20"/>
                <w:lang w:val="fr-FR"/>
              </w:rPr>
              <w:t>espacer les contrôles de la lithémie</w:t>
            </w:r>
            <w:r w:rsidR="00C70BBC">
              <w:rPr>
                <w:rFonts w:asciiTheme="majorHAnsi" w:hAnsiTheme="majorHAnsi" w:cstheme="majorHAnsi"/>
                <w:b/>
                <w:bCs/>
                <w:sz w:val="20"/>
                <w:szCs w:val="20"/>
                <w:lang w:val="fr-FR"/>
              </w:rPr>
              <w:t> ?</w:t>
            </w:r>
          </w:p>
          <w:p w14:paraId="7C788AD3" w14:textId="77777777" w:rsidR="00FB33A9" w:rsidRPr="005B4A40" w:rsidRDefault="00FB33A9" w:rsidP="00FB33A9">
            <w:pPr>
              <w:spacing w:before="8" w:after="8"/>
              <w:rPr>
                <w:rFonts w:asciiTheme="majorHAnsi" w:hAnsiTheme="majorHAnsi" w:cstheme="majorHAnsi"/>
                <w:sz w:val="20"/>
                <w:szCs w:val="20"/>
                <w:lang w:val="fr-FR"/>
              </w:rPr>
            </w:pPr>
            <w:r w:rsidRPr="005B4A40">
              <w:rPr>
                <w:rFonts w:asciiTheme="majorHAnsi" w:hAnsiTheme="majorHAnsi" w:cstheme="majorHAnsi"/>
                <w:sz w:val="20"/>
                <w:szCs w:val="20"/>
                <w:lang w:val="fr-FR"/>
              </w:rPr>
              <w:t>[</w:t>
            </w:r>
            <w:hyperlink r:id="rId49" w:history="1">
              <w:r w:rsidRPr="005B4A40">
                <w:rPr>
                  <w:rStyle w:val="Lienhypertexte"/>
                  <w:rFonts w:asciiTheme="majorHAnsi" w:hAnsiTheme="majorHAnsi" w:cstheme="majorHAnsi"/>
                  <w:sz w:val="20"/>
                  <w:szCs w:val="20"/>
                  <w:lang w:val="fr-FR"/>
                </w:rPr>
                <w:t>link3</w:t>
              </w:r>
            </w:hyperlink>
            <w:r w:rsidRPr="005B4A40">
              <w:rPr>
                <w:rFonts w:asciiTheme="majorHAnsi" w:hAnsiTheme="majorHAnsi" w:cstheme="majorHAnsi"/>
                <w:sz w:val="20"/>
                <w:szCs w:val="20"/>
                <w:lang w:val="fr-FR"/>
              </w:rPr>
              <w:t>]</w:t>
            </w:r>
          </w:p>
          <w:p w14:paraId="799E2469" w14:textId="77777777" w:rsidR="00B4230B" w:rsidRDefault="004D380F" w:rsidP="00B04713">
            <w:pPr>
              <w:spacing w:before="8" w:after="8"/>
              <w:rPr>
                <w:rFonts w:asciiTheme="majorHAnsi" w:hAnsiTheme="majorHAnsi" w:cstheme="majorHAnsi"/>
                <w:sz w:val="20"/>
                <w:szCs w:val="20"/>
              </w:rPr>
            </w:pPr>
            <w:r>
              <w:rPr>
                <w:rFonts w:asciiTheme="majorHAnsi" w:hAnsiTheme="majorHAnsi" w:cstheme="majorHAnsi"/>
                <w:sz w:val="20"/>
                <w:szCs w:val="20"/>
              </w:rPr>
              <w:t>[</w:t>
            </w:r>
            <w:hyperlink r:id="rId50" w:history="1">
              <w:r w:rsidRPr="004D380F">
                <w:rPr>
                  <w:rStyle w:val="Lienhypertexte"/>
                  <w:rFonts w:asciiTheme="majorHAnsi" w:hAnsiTheme="majorHAnsi" w:cstheme="majorHAnsi"/>
                  <w:sz w:val="20"/>
                  <w:szCs w:val="20"/>
                </w:rPr>
                <w:t>link4</w:t>
              </w:r>
            </w:hyperlink>
            <w:r>
              <w:rPr>
                <w:rFonts w:asciiTheme="majorHAnsi" w:hAnsiTheme="majorHAnsi" w:cstheme="majorHAnsi"/>
                <w:sz w:val="20"/>
                <w:szCs w:val="20"/>
              </w:rPr>
              <w:t>]</w:t>
            </w:r>
          </w:p>
          <w:p w14:paraId="02C320C3" w14:textId="2BF42910" w:rsidR="004D380F" w:rsidRPr="00796C59" w:rsidRDefault="00EE2623" w:rsidP="00B04713">
            <w:pPr>
              <w:spacing w:before="8" w:after="8"/>
              <w:rPr>
                <w:rFonts w:asciiTheme="majorHAnsi" w:hAnsiTheme="majorHAnsi" w:cstheme="majorHAnsi"/>
                <w:b/>
                <w:bCs/>
                <w:sz w:val="20"/>
                <w:szCs w:val="20"/>
              </w:rPr>
            </w:pPr>
            <w:r>
              <w:rPr>
                <w:rStyle w:val="Lienhypertexte"/>
              </w:rPr>
              <w:t xml:space="preserve">Lien </w:t>
            </w:r>
            <w:hyperlink r:id="rId51" w:history="1">
              <w:proofErr w:type="spellStart"/>
              <w:r w:rsidRPr="00EE2623">
                <w:rPr>
                  <w:rStyle w:val="Lienhypertexte"/>
                </w:rPr>
                <w:t>supplémentaire</w:t>
              </w:r>
              <w:proofErr w:type="spellEnd"/>
            </w:hyperlink>
          </w:p>
        </w:tc>
        <w:tc>
          <w:tcPr>
            <w:tcW w:w="3852" w:type="pct"/>
            <w:tcBorders>
              <w:top w:val="nil"/>
              <w:left w:val="nil"/>
              <w:bottom w:val="nil"/>
              <w:right w:val="single" w:sz="48" w:space="0" w:color="E2F2FF"/>
            </w:tcBorders>
            <w:shd w:val="clear" w:color="auto" w:fill="FFFFFF" w:themeFill="background1"/>
          </w:tcPr>
          <w:p w14:paraId="265FC33D" w14:textId="13739952" w:rsidR="00DC460D" w:rsidRDefault="005B4A40" w:rsidP="003E660E">
            <w:pPr>
              <w:spacing w:before="8" w:after="8" w:line="233" w:lineRule="auto"/>
              <w:rPr>
                <w:rFonts w:asciiTheme="majorHAnsi" w:hAnsiTheme="majorHAnsi" w:cstheme="majorHAnsi"/>
                <w:sz w:val="20"/>
                <w:szCs w:val="20"/>
                <w:lang w:val="fr-FR"/>
              </w:rPr>
            </w:pPr>
            <w:r w:rsidRPr="005B4A40">
              <w:rPr>
                <w:rFonts w:asciiTheme="majorHAnsi" w:hAnsiTheme="majorHAnsi" w:cstheme="majorHAnsi"/>
                <w:sz w:val="20"/>
                <w:szCs w:val="20"/>
                <w:lang w:val="fr-FR"/>
              </w:rPr>
              <w:t>La surveillance de l</w:t>
            </w:r>
            <w:r>
              <w:rPr>
                <w:rFonts w:asciiTheme="majorHAnsi" w:hAnsiTheme="majorHAnsi" w:cstheme="majorHAnsi"/>
                <w:sz w:val="20"/>
                <w:szCs w:val="20"/>
                <w:lang w:val="fr-FR"/>
              </w:rPr>
              <w:t>a lithémie</w:t>
            </w:r>
            <w:r w:rsidR="00C70BBC">
              <w:rPr>
                <w:rFonts w:asciiTheme="majorHAnsi" w:hAnsiTheme="majorHAnsi" w:cstheme="majorHAnsi"/>
                <w:sz w:val="20"/>
                <w:szCs w:val="20"/>
                <w:lang w:val="fr-FR"/>
              </w:rPr>
              <w:t xml:space="preserve"> doit respecter les </w:t>
            </w:r>
            <w:hyperlink r:id="rId52" w:history="1">
              <w:r w:rsidR="00C70BBC" w:rsidRPr="00C70BBC">
                <w:rPr>
                  <w:rStyle w:val="Lienhypertexte"/>
                  <w:rFonts w:asciiTheme="majorHAnsi" w:hAnsiTheme="majorHAnsi" w:cstheme="majorHAnsi"/>
                  <w:sz w:val="20"/>
                  <w:szCs w:val="20"/>
                  <w:lang w:val="fr-FR"/>
                </w:rPr>
                <w:t>recommandations nationales</w:t>
              </w:r>
            </w:hyperlink>
            <w:r w:rsidR="00C70BBC">
              <w:rPr>
                <w:rFonts w:asciiTheme="majorHAnsi" w:hAnsiTheme="majorHAnsi" w:cstheme="majorHAnsi"/>
                <w:sz w:val="20"/>
                <w:szCs w:val="20"/>
                <w:lang w:val="fr-FR"/>
              </w:rPr>
              <w:t xml:space="preserve"> (note de bas de page)</w:t>
            </w:r>
          </w:p>
          <w:p w14:paraId="2D1B91D9" w14:textId="38A344BC" w:rsidR="00C70BBC" w:rsidRDefault="00C70BBC" w:rsidP="003E660E">
            <w:pPr>
              <w:spacing w:before="8" w:after="8" w:line="233" w:lineRule="auto"/>
              <w:rPr>
                <w:rFonts w:asciiTheme="majorHAnsi" w:hAnsiTheme="majorHAnsi" w:cstheme="majorHAnsi"/>
                <w:sz w:val="20"/>
                <w:szCs w:val="20"/>
                <w:lang w:val="fr-FR"/>
              </w:rPr>
            </w:pPr>
          </w:p>
          <w:p w14:paraId="6A90B0B1" w14:textId="4358A8D6" w:rsidR="00C70BBC" w:rsidRDefault="00C70BBC" w:rsidP="003E660E">
            <w:pPr>
              <w:spacing w:before="8" w:after="8" w:line="233" w:lineRule="auto"/>
              <w:rPr>
                <w:rFonts w:asciiTheme="majorHAnsi" w:hAnsiTheme="majorHAnsi" w:cstheme="majorHAnsi"/>
                <w:sz w:val="20"/>
                <w:szCs w:val="20"/>
                <w:lang w:val="fr-FR"/>
              </w:rPr>
            </w:pPr>
            <w:r>
              <w:rPr>
                <w:rFonts w:asciiTheme="majorHAnsi" w:hAnsiTheme="majorHAnsi" w:cstheme="majorHAnsi"/>
                <w:sz w:val="20"/>
                <w:szCs w:val="20"/>
                <w:lang w:val="fr-FR"/>
              </w:rPr>
              <w:t xml:space="preserve">Au Royaume Uni une décision au cas par cas d’espacer les contrôles de lithémie est proposée pour les patients stables depuis plus d’un an et sans facteurs de risque de surdosage en lithium. </w:t>
            </w:r>
          </w:p>
          <w:p w14:paraId="3B5204BE" w14:textId="66581208" w:rsidR="00C70BBC" w:rsidRDefault="00C70BBC" w:rsidP="003E660E">
            <w:pPr>
              <w:spacing w:before="8" w:after="8" w:line="233" w:lineRule="auto"/>
              <w:rPr>
                <w:rFonts w:asciiTheme="majorHAnsi" w:hAnsiTheme="majorHAnsi" w:cstheme="majorHAnsi"/>
                <w:sz w:val="20"/>
                <w:szCs w:val="20"/>
                <w:lang w:val="fr-FR"/>
              </w:rPr>
            </w:pPr>
          </w:p>
          <w:p w14:paraId="5BB8AEF2" w14:textId="6DD6539B" w:rsidR="00C70BBC" w:rsidRDefault="00C70BBC" w:rsidP="003E660E">
            <w:pPr>
              <w:spacing w:before="8" w:after="8" w:line="233" w:lineRule="auto"/>
              <w:rPr>
                <w:rFonts w:asciiTheme="majorHAnsi" w:hAnsiTheme="majorHAnsi" w:cstheme="majorHAnsi"/>
                <w:sz w:val="20"/>
                <w:szCs w:val="20"/>
                <w:lang w:val="fr-FR"/>
              </w:rPr>
            </w:pPr>
            <w:r>
              <w:rPr>
                <w:rFonts w:asciiTheme="majorHAnsi" w:hAnsiTheme="majorHAnsi" w:cstheme="majorHAnsi"/>
                <w:sz w:val="20"/>
                <w:szCs w:val="20"/>
                <w:lang w:val="fr-FR"/>
              </w:rPr>
              <w:t xml:space="preserve">La plupart des patients </w:t>
            </w:r>
            <w:r w:rsidR="006204E7">
              <w:rPr>
                <w:rFonts w:asciiTheme="majorHAnsi" w:hAnsiTheme="majorHAnsi" w:cstheme="majorHAnsi"/>
                <w:sz w:val="20"/>
                <w:szCs w:val="20"/>
                <w:lang w:val="fr-FR"/>
              </w:rPr>
              <w:t xml:space="preserve">pourront poursuivre </w:t>
            </w:r>
            <w:r>
              <w:rPr>
                <w:rFonts w:asciiTheme="majorHAnsi" w:hAnsiTheme="majorHAnsi" w:cstheme="majorHAnsi"/>
                <w:sz w:val="20"/>
                <w:szCs w:val="20"/>
                <w:lang w:val="fr-FR"/>
              </w:rPr>
              <w:t xml:space="preserve">le contrôle de leur lithémie dans des laboratoires </w:t>
            </w:r>
            <w:r w:rsidR="006204E7">
              <w:rPr>
                <w:rFonts w:asciiTheme="majorHAnsi" w:hAnsiTheme="majorHAnsi" w:cstheme="majorHAnsi"/>
                <w:sz w:val="20"/>
                <w:szCs w:val="20"/>
                <w:lang w:val="fr-FR"/>
              </w:rPr>
              <w:t>de</w:t>
            </w:r>
            <w:r>
              <w:rPr>
                <w:rFonts w:asciiTheme="majorHAnsi" w:hAnsiTheme="majorHAnsi" w:cstheme="majorHAnsi"/>
                <w:sz w:val="20"/>
                <w:szCs w:val="20"/>
                <w:lang w:val="fr-FR"/>
              </w:rPr>
              <w:t xml:space="preserve"> ville. En cas de difficulté, un prélèvement réalisé par d’autres structures peut être envisagé. </w:t>
            </w:r>
          </w:p>
          <w:p w14:paraId="134183BF" w14:textId="0FD17D73" w:rsidR="009C7F48" w:rsidRPr="00C70BBC" w:rsidRDefault="00C70BBC" w:rsidP="003E660E">
            <w:pPr>
              <w:spacing w:before="8" w:after="8" w:line="233" w:lineRule="auto"/>
              <w:rPr>
                <w:rFonts w:asciiTheme="majorHAnsi" w:hAnsiTheme="majorHAnsi" w:cstheme="majorHAnsi"/>
                <w:sz w:val="20"/>
                <w:szCs w:val="20"/>
                <w:lang w:val="fr-FR"/>
              </w:rPr>
            </w:pPr>
            <w:r w:rsidRPr="00C70BBC">
              <w:rPr>
                <w:rFonts w:asciiTheme="majorHAnsi" w:hAnsiTheme="majorHAnsi" w:cstheme="majorHAnsi"/>
                <w:sz w:val="20"/>
                <w:szCs w:val="20"/>
                <w:lang w:val="fr-FR"/>
              </w:rPr>
              <w:t>Les patients les plus à risqu</w:t>
            </w:r>
            <w:r>
              <w:rPr>
                <w:rFonts w:asciiTheme="majorHAnsi" w:hAnsiTheme="majorHAnsi" w:cstheme="majorHAnsi"/>
                <w:sz w:val="20"/>
                <w:szCs w:val="20"/>
                <w:lang w:val="fr-FR"/>
              </w:rPr>
              <w:t>e de surdosage en lithium doivent bénéficier d’une surveillance de la lithémie tous les trois mois</w:t>
            </w:r>
          </w:p>
          <w:p w14:paraId="55C61E03" w14:textId="1D9FB723" w:rsidR="00DC460D" w:rsidRPr="00433ED1" w:rsidRDefault="00DC460D" w:rsidP="003E660E">
            <w:pPr>
              <w:spacing w:before="8" w:after="8" w:line="233" w:lineRule="auto"/>
              <w:rPr>
                <w:rFonts w:asciiTheme="majorHAnsi" w:hAnsiTheme="majorHAnsi" w:cstheme="majorHAnsi"/>
                <w:sz w:val="20"/>
                <w:szCs w:val="20"/>
                <w:lang w:val="fr-BE"/>
              </w:rPr>
            </w:pPr>
          </w:p>
        </w:tc>
      </w:tr>
      <w:tr w:rsidR="00B04713" w:rsidRPr="00796C59" w14:paraId="0F419FFF" w14:textId="77777777" w:rsidTr="00FB736C">
        <w:tc>
          <w:tcPr>
            <w:tcW w:w="5000" w:type="pct"/>
            <w:gridSpan w:val="2"/>
            <w:tcBorders>
              <w:top w:val="nil"/>
              <w:left w:val="single" w:sz="48" w:space="0" w:color="E2F2FF"/>
              <w:bottom w:val="nil"/>
              <w:right w:val="single" w:sz="48" w:space="0" w:color="E2F2FF"/>
            </w:tcBorders>
            <w:shd w:val="clear" w:color="auto" w:fill="002147"/>
          </w:tcPr>
          <w:p w14:paraId="597FFFBF" w14:textId="1FCBF731" w:rsidR="00C134AF" w:rsidRPr="00796C59" w:rsidRDefault="006D31DC" w:rsidP="003E660E">
            <w:pPr>
              <w:spacing w:before="8" w:after="8" w:line="233" w:lineRule="auto"/>
              <w:rPr>
                <w:rFonts w:asciiTheme="majorHAnsi" w:hAnsiTheme="majorHAnsi" w:cstheme="majorHAnsi"/>
                <w:b/>
                <w:bCs/>
                <w:sz w:val="20"/>
                <w:szCs w:val="20"/>
              </w:rPr>
            </w:pPr>
            <w:r w:rsidRPr="006D31DC">
              <w:rPr>
                <w:rFonts w:asciiTheme="majorHAnsi" w:hAnsiTheme="majorHAnsi" w:cstheme="majorHAnsi"/>
                <w:b/>
                <w:bCs/>
                <w:sz w:val="20"/>
                <w:szCs w:val="20"/>
              </w:rPr>
              <w:t>Different formulations of lithium</w:t>
            </w:r>
          </w:p>
        </w:tc>
      </w:tr>
      <w:tr w:rsidR="00B04713" w:rsidRPr="00EE2623" w14:paraId="512C7317" w14:textId="77777777" w:rsidTr="00FB736C">
        <w:trPr>
          <w:trHeight w:val="575"/>
        </w:trPr>
        <w:tc>
          <w:tcPr>
            <w:tcW w:w="1148" w:type="pct"/>
            <w:tcBorders>
              <w:top w:val="nil"/>
              <w:left w:val="single" w:sz="48" w:space="0" w:color="E2F2FF"/>
              <w:bottom w:val="single" w:sz="48" w:space="0" w:color="E2F2FF"/>
              <w:right w:val="nil"/>
            </w:tcBorders>
            <w:shd w:val="clear" w:color="auto" w:fill="FFFFFF" w:themeFill="background1"/>
          </w:tcPr>
          <w:p w14:paraId="633155F9" w14:textId="310E6226" w:rsidR="005C0539" w:rsidRPr="00681190" w:rsidRDefault="00E95D43" w:rsidP="00681190">
            <w:pPr>
              <w:spacing w:before="8" w:after="8"/>
              <w:rPr>
                <w:rFonts w:asciiTheme="majorHAnsi" w:hAnsiTheme="majorHAnsi" w:cstheme="majorHAnsi"/>
                <w:b/>
                <w:bCs/>
                <w:sz w:val="20"/>
                <w:szCs w:val="20"/>
                <w:lang w:val="fr-FR"/>
              </w:rPr>
            </w:pPr>
            <w:r w:rsidRPr="00B90067">
              <w:rPr>
                <w:rFonts w:asciiTheme="majorHAnsi" w:hAnsiTheme="majorHAnsi" w:cstheme="majorHAnsi"/>
                <w:b/>
                <w:bCs/>
                <w:sz w:val="20"/>
                <w:szCs w:val="20"/>
                <w:lang w:val="fr-FR"/>
              </w:rPr>
              <w:t xml:space="preserve">Peut-on passer du Lithium à </w:t>
            </w:r>
            <w:r w:rsidR="00681190" w:rsidRPr="00B90067">
              <w:rPr>
                <w:rFonts w:asciiTheme="majorHAnsi" w:hAnsiTheme="majorHAnsi" w:cstheme="majorHAnsi"/>
                <w:b/>
                <w:bCs/>
                <w:sz w:val="20"/>
                <w:szCs w:val="20"/>
                <w:lang w:val="fr-FR"/>
              </w:rPr>
              <w:t>libération</w:t>
            </w:r>
            <w:r w:rsidRPr="00B90067">
              <w:rPr>
                <w:rFonts w:asciiTheme="majorHAnsi" w:hAnsiTheme="majorHAnsi" w:cstheme="majorHAnsi"/>
                <w:b/>
                <w:bCs/>
                <w:sz w:val="20"/>
                <w:szCs w:val="20"/>
                <w:lang w:val="fr-FR"/>
              </w:rPr>
              <w:t xml:space="preserve"> </w:t>
            </w:r>
            <w:r w:rsidR="00681190" w:rsidRPr="00B90067">
              <w:rPr>
                <w:rFonts w:asciiTheme="majorHAnsi" w:hAnsiTheme="majorHAnsi" w:cstheme="majorHAnsi"/>
                <w:b/>
                <w:bCs/>
                <w:sz w:val="20"/>
                <w:szCs w:val="20"/>
                <w:lang w:val="fr-FR"/>
              </w:rPr>
              <w:t>immédiate</w:t>
            </w:r>
            <w:r w:rsidRPr="00B90067">
              <w:rPr>
                <w:rFonts w:asciiTheme="majorHAnsi" w:hAnsiTheme="majorHAnsi" w:cstheme="majorHAnsi"/>
                <w:b/>
                <w:bCs/>
                <w:sz w:val="20"/>
                <w:szCs w:val="20"/>
                <w:lang w:val="fr-FR"/>
              </w:rPr>
              <w:t xml:space="preserve"> au lithium à </w:t>
            </w:r>
            <w:r w:rsidR="00681190" w:rsidRPr="00B90067">
              <w:rPr>
                <w:rFonts w:asciiTheme="majorHAnsi" w:hAnsiTheme="majorHAnsi" w:cstheme="majorHAnsi"/>
                <w:b/>
                <w:bCs/>
                <w:sz w:val="20"/>
                <w:szCs w:val="20"/>
                <w:lang w:val="fr-FR"/>
              </w:rPr>
              <w:t>libération</w:t>
            </w:r>
            <w:r w:rsidRPr="00B90067">
              <w:rPr>
                <w:rFonts w:asciiTheme="majorHAnsi" w:hAnsiTheme="majorHAnsi" w:cstheme="majorHAnsi"/>
                <w:b/>
                <w:bCs/>
                <w:sz w:val="20"/>
                <w:szCs w:val="20"/>
                <w:lang w:val="fr-FR"/>
              </w:rPr>
              <w:t xml:space="preserve"> prolongé ou </w:t>
            </w:r>
            <w:r w:rsidR="00681190" w:rsidRPr="00B90067">
              <w:rPr>
                <w:rFonts w:asciiTheme="majorHAnsi" w:hAnsiTheme="majorHAnsi" w:cstheme="majorHAnsi"/>
                <w:b/>
                <w:bCs/>
                <w:sz w:val="20"/>
                <w:szCs w:val="20"/>
                <w:lang w:val="fr-FR"/>
              </w:rPr>
              <w:t>inversement</w:t>
            </w:r>
            <w:r w:rsidRPr="00B90067">
              <w:rPr>
                <w:rFonts w:asciiTheme="majorHAnsi" w:hAnsiTheme="majorHAnsi" w:cstheme="majorHAnsi"/>
                <w:b/>
                <w:bCs/>
                <w:sz w:val="20"/>
                <w:szCs w:val="20"/>
                <w:lang w:val="fr-FR"/>
              </w:rPr>
              <w:t xml:space="preserve"> </w:t>
            </w:r>
            <w:r w:rsidR="005E02CF" w:rsidRPr="00B90067">
              <w:rPr>
                <w:rFonts w:asciiTheme="majorHAnsi" w:hAnsiTheme="majorHAnsi" w:cstheme="majorHAnsi"/>
                <w:b/>
                <w:bCs/>
                <w:sz w:val="20"/>
                <w:szCs w:val="20"/>
                <w:lang w:val="fr-FR"/>
              </w:rPr>
              <w:t xml:space="preserve">en </w:t>
            </w:r>
            <w:r w:rsidR="00681190">
              <w:rPr>
                <w:rFonts w:asciiTheme="majorHAnsi" w:hAnsiTheme="majorHAnsi" w:cstheme="majorHAnsi"/>
                <w:b/>
                <w:bCs/>
                <w:sz w:val="20"/>
                <w:szCs w:val="20"/>
                <w:lang w:val="fr-FR"/>
              </w:rPr>
              <w:t>cas de difficultés d’approvisionnement ?</w:t>
            </w:r>
          </w:p>
          <w:p w14:paraId="022D65D1" w14:textId="73B55923" w:rsidR="006D31DC" w:rsidRPr="006D31DC" w:rsidRDefault="006D31DC" w:rsidP="00B04713">
            <w:pPr>
              <w:spacing w:before="8" w:after="8"/>
              <w:rPr>
                <w:rFonts w:asciiTheme="majorHAnsi" w:hAnsiTheme="majorHAnsi" w:cstheme="majorHAnsi"/>
                <w:sz w:val="20"/>
                <w:szCs w:val="20"/>
              </w:rPr>
            </w:pPr>
            <w:r w:rsidRPr="006D31DC">
              <w:rPr>
                <w:rFonts w:asciiTheme="majorHAnsi" w:hAnsiTheme="majorHAnsi" w:cstheme="majorHAnsi"/>
                <w:sz w:val="20"/>
                <w:szCs w:val="20"/>
              </w:rPr>
              <w:t>[</w:t>
            </w:r>
            <w:hyperlink r:id="rId53" w:history="1">
              <w:r w:rsidRPr="006D31DC">
                <w:rPr>
                  <w:rStyle w:val="Lienhypertexte"/>
                  <w:rFonts w:asciiTheme="majorHAnsi" w:hAnsiTheme="majorHAnsi" w:cstheme="majorHAnsi"/>
                  <w:sz w:val="20"/>
                  <w:szCs w:val="20"/>
                </w:rPr>
                <w:t>link7</w:t>
              </w:r>
            </w:hyperlink>
            <w:r w:rsidRPr="006D31DC">
              <w:rPr>
                <w:rFonts w:asciiTheme="majorHAnsi" w:hAnsiTheme="majorHAnsi" w:cstheme="majorHAnsi"/>
                <w:sz w:val="20"/>
                <w:szCs w:val="20"/>
              </w:rPr>
              <w:t>]</w:t>
            </w:r>
          </w:p>
          <w:p w14:paraId="0FFC42D6" w14:textId="671169C2" w:rsidR="006D31DC" w:rsidRPr="00796C59" w:rsidRDefault="006D31DC" w:rsidP="00B04713">
            <w:pPr>
              <w:spacing w:before="8" w:after="8"/>
              <w:rPr>
                <w:rFonts w:asciiTheme="majorHAnsi" w:hAnsiTheme="majorHAnsi" w:cstheme="majorHAnsi"/>
                <w:b/>
                <w:bCs/>
                <w:sz w:val="20"/>
                <w:szCs w:val="20"/>
              </w:rPr>
            </w:pPr>
            <w:r w:rsidRPr="006D31DC">
              <w:rPr>
                <w:rFonts w:asciiTheme="majorHAnsi" w:hAnsiTheme="majorHAnsi" w:cstheme="majorHAnsi"/>
                <w:sz w:val="20"/>
                <w:szCs w:val="20"/>
              </w:rPr>
              <w:t>[</w:t>
            </w:r>
            <w:hyperlink r:id="rId54" w:history="1">
              <w:r w:rsidRPr="006D31DC">
                <w:rPr>
                  <w:rStyle w:val="Lienhypertexte"/>
                  <w:rFonts w:asciiTheme="majorHAnsi" w:hAnsiTheme="majorHAnsi" w:cstheme="majorHAnsi"/>
                  <w:sz w:val="20"/>
                  <w:szCs w:val="20"/>
                </w:rPr>
                <w:t>link8</w:t>
              </w:r>
            </w:hyperlink>
            <w:r w:rsidRPr="006D31DC">
              <w:rPr>
                <w:rFonts w:asciiTheme="majorHAnsi" w:hAnsiTheme="majorHAnsi" w:cstheme="majorHAnsi"/>
                <w:sz w:val="20"/>
                <w:szCs w:val="20"/>
              </w:rPr>
              <w:t>]</w:t>
            </w:r>
          </w:p>
        </w:tc>
        <w:tc>
          <w:tcPr>
            <w:tcW w:w="3852" w:type="pct"/>
            <w:tcBorders>
              <w:top w:val="nil"/>
              <w:left w:val="nil"/>
              <w:bottom w:val="single" w:sz="48" w:space="0" w:color="E2F2FF"/>
              <w:right w:val="single" w:sz="48" w:space="0" w:color="E2F2FF"/>
            </w:tcBorders>
            <w:shd w:val="clear" w:color="auto" w:fill="FFFFFF" w:themeFill="background1"/>
          </w:tcPr>
          <w:p w14:paraId="4AFBEECF" w14:textId="490845A8" w:rsidR="005E02CF" w:rsidRPr="00BD6F31" w:rsidRDefault="00681190" w:rsidP="003E660E">
            <w:pPr>
              <w:spacing w:before="8" w:after="8" w:line="233" w:lineRule="auto"/>
              <w:rPr>
                <w:rFonts w:asciiTheme="majorHAnsi" w:hAnsiTheme="majorHAnsi" w:cstheme="majorHAnsi"/>
                <w:sz w:val="20"/>
                <w:szCs w:val="20"/>
                <w:lang w:val="fr-029"/>
              </w:rPr>
            </w:pPr>
            <w:r>
              <w:rPr>
                <w:rFonts w:asciiTheme="majorHAnsi" w:hAnsiTheme="majorHAnsi" w:cstheme="majorHAnsi"/>
                <w:sz w:val="20"/>
                <w:szCs w:val="20"/>
                <w:lang w:val="fr-029"/>
              </w:rPr>
              <w:t>Un switch peut être envisagé avec</w:t>
            </w:r>
            <w:r w:rsidR="005E02CF" w:rsidRPr="00BD6F31">
              <w:rPr>
                <w:rFonts w:asciiTheme="majorHAnsi" w:hAnsiTheme="majorHAnsi" w:cstheme="majorHAnsi"/>
                <w:sz w:val="20"/>
                <w:szCs w:val="20"/>
                <w:lang w:val="fr-029"/>
              </w:rPr>
              <w:t xml:space="preserve"> </w:t>
            </w:r>
            <w:r>
              <w:rPr>
                <w:rFonts w:asciiTheme="majorHAnsi" w:hAnsiTheme="majorHAnsi" w:cstheme="majorHAnsi"/>
                <w:sz w:val="20"/>
                <w:szCs w:val="20"/>
                <w:lang w:val="fr-029"/>
              </w:rPr>
              <w:t xml:space="preserve">précaution </w:t>
            </w:r>
            <w:r w:rsidR="005E02CF" w:rsidRPr="00BD6F31">
              <w:rPr>
                <w:rFonts w:asciiTheme="majorHAnsi" w:hAnsiTheme="majorHAnsi" w:cstheme="majorHAnsi"/>
                <w:sz w:val="20"/>
                <w:szCs w:val="20"/>
                <w:lang w:val="fr-029"/>
              </w:rPr>
              <w:t>car la biodisponibilité des</w:t>
            </w:r>
            <w:r w:rsidR="006204E7">
              <w:rPr>
                <w:rFonts w:asciiTheme="majorHAnsi" w:hAnsiTheme="majorHAnsi" w:cstheme="majorHAnsi"/>
                <w:sz w:val="20"/>
                <w:szCs w:val="20"/>
                <w:lang w:val="fr-029"/>
              </w:rPr>
              <w:t xml:space="preserve"> différentes form</w:t>
            </w:r>
            <w:r w:rsidR="00433ED1">
              <w:rPr>
                <w:rFonts w:asciiTheme="majorHAnsi" w:hAnsiTheme="majorHAnsi" w:cstheme="majorHAnsi"/>
                <w:sz w:val="20"/>
                <w:szCs w:val="20"/>
                <w:lang w:val="fr-029"/>
              </w:rPr>
              <w:t>ules</w:t>
            </w:r>
            <w:r w:rsidR="005E02CF" w:rsidRPr="00BD6F31">
              <w:rPr>
                <w:rFonts w:asciiTheme="majorHAnsi" w:hAnsiTheme="majorHAnsi" w:cstheme="majorHAnsi"/>
                <w:sz w:val="20"/>
                <w:szCs w:val="20"/>
                <w:lang w:val="fr-029"/>
              </w:rPr>
              <w:t xml:space="preserve"> varie considérablement.</w:t>
            </w:r>
          </w:p>
          <w:p w14:paraId="1AC619CB" w14:textId="3CD833B3" w:rsidR="005E02CF" w:rsidRPr="00BD6F31" w:rsidRDefault="005E02CF" w:rsidP="003E660E">
            <w:pPr>
              <w:spacing w:before="8" w:after="8" w:line="233" w:lineRule="auto"/>
              <w:rPr>
                <w:rFonts w:asciiTheme="majorHAnsi" w:hAnsiTheme="majorHAnsi" w:cstheme="majorHAnsi"/>
                <w:sz w:val="20"/>
                <w:szCs w:val="20"/>
                <w:lang w:val="fr-029"/>
              </w:rPr>
            </w:pPr>
          </w:p>
          <w:p w14:paraId="06506564" w14:textId="3ADBAE23" w:rsidR="005E02CF" w:rsidRPr="00BD6F31" w:rsidRDefault="005E02CF" w:rsidP="005E02CF">
            <w:pPr>
              <w:spacing w:before="8" w:after="8" w:line="233" w:lineRule="auto"/>
              <w:rPr>
                <w:rFonts w:asciiTheme="majorHAnsi" w:hAnsiTheme="majorHAnsi" w:cstheme="majorHAnsi"/>
                <w:sz w:val="20"/>
                <w:szCs w:val="20"/>
                <w:lang w:val="fr-029"/>
              </w:rPr>
            </w:pPr>
            <w:r w:rsidRPr="00BD6F31">
              <w:rPr>
                <w:rFonts w:asciiTheme="majorHAnsi" w:hAnsiTheme="majorHAnsi" w:cstheme="majorHAnsi"/>
                <w:sz w:val="20"/>
                <w:szCs w:val="20"/>
                <w:lang w:val="fr-029"/>
              </w:rPr>
              <w:t xml:space="preserve">Si un changement de </w:t>
            </w:r>
            <w:r w:rsidR="006204E7">
              <w:rPr>
                <w:rFonts w:asciiTheme="majorHAnsi" w:hAnsiTheme="majorHAnsi" w:cstheme="majorHAnsi"/>
                <w:sz w:val="20"/>
                <w:szCs w:val="20"/>
                <w:lang w:val="fr-029"/>
              </w:rPr>
              <w:t xml:space="preserve">formule </w:t>
            </w:r>
            <w:r w:rsidRPr="00BD6F31">
              <w:rPr>
                <w:rFonts w:asciiTheme="majorHAnsi" w:hAnsiTheme="majorHAnsi" w:cstheme="majorHAnsi"/>
                <w:sz w:val="20"/>
                <w:szCs w:val="20"/>
                <w:lang w:val="fr-029"/>
              </w:rPr>
              <w:t>est nécessaire</w:t>
            </w:r>
            <w:r w:rsidR="00681190">
              <w:rPr>
                <w:rFonts w:asciiTheme="majorHAnsi" w:hAnsiTheme="majorHAnsi" w:cstheme="majorHAnsi"/>
                <w:sz w:val="20"/>
                <w:szCs w:val="20"/>
                <w:lang w:val="fr-029"/>
              </w:rPr>
              <w:t> :</w:t>
            </w:r>
          </w:p>
          <w:p w14:paraId="554E6320" w14:textId="6440B3CA" w:rsidR="005E02CF" w:rsidRPr="00BD6F31" w:rsidRDefault="005E02CF" w:rsidP="005E02CF">
            <w:pPr>
              <w:spacing w:before="8" w:after="8" w:line="233" w:lineRule="auto"/>
              <w:rPr>
                <w:rFonts w:asciiTheme="majorHAnsi" w:hAnsiTheme="majorHAnsi" w:cstheme="majorHAnsi"/>
                <w:sz w:val="20"/>
                <w:szCs w:val="20"/>
                <w:lang w:val="fr-029"/>
              </w:rPr>
            </w:pPr>
            <w:r w:rsidRPr="00BD6F31">
              <w:rPr>
                <w:rFonts w:asciiTheme="majorHAnsi" w:hAnsiTheme="majorHAnsi" w:cstheme="majorHAnsi"/>
                <w:sz w:val="20"/>
                <w:szCs w:val="20"/>
                <w:lang w:val="fr-029"/>
              </w:rPr>
              <w:t xml:space="preserve">• </w:t>
            </w:r>
            <w:r w:rsidR="00433ED1">
              <w:rPr>
                <w:rFonts w:asciiTheme="majorHAnsi" w:hAnsiTheme="majorHAnsi" w:cstheme="majorHAnsi"/>
                <w:sz w:val="20"/>
                <w:szCs w:val="20"/>
                <w:lang w:val="fr-029"/>
              </w:rPr>
              <w:t>Définissez</w:t>
            </w:r>
            <w:r w:rsidR="006204E7">
              <w:rPr>
                <w:rFonts w:asciiTheme="majorHAnsi" w:hAnsiTheme="majorHAnsi" w:cstheme="majorHAnsi"/>
                <w:sz w:val="20"/>
                <w:szCs w:val="20"/>
                <w:lang w:val="fr-029"/>
              </w:rPr>
              <w:t xml:space="preserve"> </w:t>
            </w:r>
            <w:r w:rsidRPr="00BD6F31">
              <w:rPr>
                <w:rFonts w:asciiTheme="majorHAnsi" w:hAnsiTheme="majorHAnsi" w:cstheme="majorHAnsi"/>
                <w:sz w:val="20"/>
                <w:szCs w:val="20"/>
                <w:lang w:val="fr-029"/>
              </w:rPr>
              <w:t>l</w:t>
            </w:r>
            <w:r w:rsidR="006204E7">
              <w:rPr>
                <w:rFonts w:asciiTheme="majorHAnsi" w:hAnsiTheme="majorHAnsi" w:cstheme="majorHAnsi"/>
                <w:sz w:val="20"/>
                <w:szCs w:val="20"/>
                <w:lang w:val="fr-029"/>
              </w:rPr>
              <w:t xml:space="preserve">a </w:t>
            </w:r>
            <w:r w:rsidR="00433ED1">
              <w:rPr>
                <w:rFonts w:asciiTheme="majorHAnsi" w:hAnsiTheme="majorHAnsi" w:cstheme="majorHAnsi"/>
                <w:sz w:val="20"/>
                <w:szCs w:val="20"/>
                <w:lang w:val="fr-029"/>
              </w:rPr>
              <w:t>lithiémie</w:t>
            </w:r>
            <w:r w:rsidR="006204E7">
              <w:rPr>
                <w:rFonts w:asciiTheme="majorHAnsi" w:hAnsiTheme="majorHAnsi" w:cstheme="majorHAnsi"/>
                <w:sz w:val="20"/>
                <w:szCs w:val="20"/>
                <w:lang w:val="fr-029"/>
              </w:rPr>
              <w:t xml:space="preserve"> à attendue avec la nouvelle forme</w:t>
            </w:r>
            <w:r w:rsidRPr="00BD6F31">
              <w:rPr>
                <w:rFonts w:asciiTheme="majorHAnsi" w:hAnsiTheme="majorHAnsi" w:cstheme="majorHAnsi"/>
                <w:sz w:val="20"/>
                <w:szCs w:val="20"/>
                <w:lang w:val="fr-029"/>
              </w:rPr>
              <w:t>.</w:t>
            </w:r>
          </w:p>
          <w:p w14:paraId="3B3DAC80" w14:textId="226E9A5C" w:rsidR="005E02CF" w:rsidRPr="00BD6F31" w:rsidRDefault="005E02CF" w:rsidP="005E02CF">
            <w:pPr>
              <w:spacing w:before="8" w:after="8" w:line="233" w:lineRule="auto"/>
              <w:rPr>
                <w:rFonts w:asciiTheme="majorHAnsi" w:hAnsiTheme="majorHAnsi" w:cstheme="majorHAnsi"/>
                <w:sz w:val="20"/>
                <w:szCs w:val="20"/>
                <w:lang w:val="fr-029"/>
              </w:rPr>
            </w:pPr>
            <w:r w:rsidRPr="00BD6F31">
              <w:rPr>
                <w:rFonts w:asciiTheme="majorHAnsi" w:hAnsiTheme="majorHAnsi" w:cstheme="majorHAnsi"/>
                <w:sz w:val="20"/>
                <w:szCs w:val="20"/>
                <w:lang w:val="fr-029"/>
              </w:rPr>
              <w:t>• Arrêtez la</w:t>
            </w:r>
            <w:r w:rsidR="006204E7">
              <w:rPr>
                <w:rFonts w:asciiTheme="majorHAnsi" w:hAnsiTheme="majorHAnsi" w:cstheme="majorHAnsi"/>
                <w:sz w:val="20"/>
                <w:szCs w:val="20"/>
                <w:lang w:val="fr-029"/>
              </w:rPr>
              <w:t xml:space="preserve"> forme </w:t>
            </w:r>
            <w:r w:rsidRPr="00BD6F31">
              <w:rPr>
                <w:rFonts w:asciiTheme="majorHAnsi" w:hAnsiTheme="majorHAnsi" w:cstheme="majorHAnsi"/>
                <w:sz w:val="20"/>
                <w:szCs w:val="20"/>
                <w:lang w:val="fr-029"/>
              </w:rPr>
              <w:t xml:space="preserve">originale et </w:t>
            </w:r>
            <w:r w:rsidR="006204E7">
              <w:rPr>
                <w:rFonts w:asciiTheme="majorHAnsi" w:hAnsiTheme="majorHAnsi" w:cstheme="majorHAnsi"/>
                <w:sz w:val="20"/>
                <w:szCs w:val="20"/>
                <w:lang w:val="fr-029"/>
              </w:rPr>
              <w:t xml:space="preserve">débuter </w:t>
            </w:r>
            <w:r w:rsidRPr="00BD6F31">
              <w:rPr>
                <w:rFonts w:asciiTheme="majorHAnsi" w:hAnsiTheme="majorHAnsi" w:cstheme="majorHAnsi"/>
                <w:sz w:val="20"/>
                <w:szCs w:val="20"/>
                <w:lang w:val="fr-029"/>
              </w:rPr>
              <w:t xml:space="preserve">la nouvelle </w:t>
            </w:r>
          </w:p>
          <w:p w14:paraId="480F773A" w14:textId="082490EB" w:rsidR="005E02CF" w:rsidRPr="00BD6F31" w:rsidRDefault="005E02CF" w:rsidP="005E02CF">
            <w:pPr>
              <w:spacing w:before="8" w:after="8" w:line="233" w:lineRule="auto"/>
              <w:rPr>
                <w:rFonts w:asciiTheme="majorHAnsi" w:hAnsiTheme="majorHAnsi" w:cstheme="majorHAnsi"/>
                <w:sz w:val="20"/>
                <w:szCs w:val="20"/>
                <w:lang w:val="fr-029"/>
              </w:rPr>
            </w:pPr>
            <w:r w:rsidRPr="00BD6F31">
              <w:rPr>
                <w:rFonts w:asciiTheme="majorHAnsi" w:hAnsiTheme="majorHAnsi" w:cstheme="majorHAnsi"/>
                <w:sz w:val="20"/>
                <w:szCs w:val="20"/>
                <w:lang w:val="fr-029"/>
              </w:rPr>
              <w:t xml:space="preserve">• Vérifiez le taux plasmatique </w:t>
            </w:r>
            <w:r w:rsidR="006204E7">
              <w:rPr>
                <w:rFonts w:asciiTheme="majorHAnsi" w:hAnsiTheme="majorHAnsi" w:cstheme="majorHAnsi"/>
                <w:sz w:val="20"/>
                <w:szCs w:val="20"/>
                <w:lang w:val="fr-029"/>
              </w:rPr>
              <w:t xml:space="preserve">après </w:t>
            </w:r>
            <w:r w:rsidRPr="00BD6F31">
              <w:rPr>
                <w:rFonts w:asciiTheme="majorHAnsi" w:hAnsiTheme="majorHAnsi" w:cstheme="majorHAnsi"/>
                <w:sz w:val="20"/>
                <w:szCs w:val="20"/>
                <w:lang w:val="fr-029"/>
              </w:rPr>
              <w:t>5</w:t>
            </w:r>
            <w:r w:rsidR="00681190">
              <w:rPr>
                <w:rFonts w:asciiTheme="majorHAnsi" w:hAnsiTheme="majorHAnsi" w:cstheme="majorHAnsi"/>
                <w:sz w:val="20"/>
                <w:szCs w:val="20"/>
                <w:lang w:val="fr-029"/>
              </w:rPr>
              <w:t xml:space="preserve"> </w:t>
            </w:r>
            <w:r w:rsidRPr="00BD6F31">
              <w:rPr>
                <w:rFonts w:asciiTheme="majorHAnsi" w:hAnsiTheme="majorHAnsi" w:cstheme="majorHAnsi"/>
                <w:sz w:val="20"/>
                <w:szCs w:val="20"/>
                <w:lang w:val="fr-029"/>
              </w:rPr>
              <w:t>jours</w:t>
            </w:r>
            <w:r w:rsidR="006204E7">
              <w:rPr>
                <w:rFonts w:asciiTheme="majorHAnsi" w:hAnsiTheme="majorHAnsi" w:cstheme="majorHAnsi"/>
                <w:sz w:val="20"/>
                <w:szCs w:val="20"/>
                <w:lang w:val="fr-029"/>
              </w:rPr>
              <w:t xml:space="preserve"> du nouveau traitement </w:t>
            </w:r>
          </w:p>
          <w:p w14:paraId="23FAF429" w14:textId="7D10E841" w:rsidR="00B4230B" w:rsidRPr="00681190" w:rsidRDefault="005E02CF" w:rsidP="00681190">
            <w:pPr>
              <w:spacing w:before="8" w:after="8" w:line="233" w:lineRule="auto"/>
              <w:rPr>
                <w:rFonts w:asciiTheme="majorHAnsi" w:hAnsiTheme="majorHAnsi" w:cstheme="majorHAnsi"/>
                <w:sz w:val="20"/>
                <w:szCs w:val="20"/>
                <w:lang w:val="fr-029"/>
              </w:rPr>
            </w:pPr>
            <w:r w:rsidRPr="00BD6F31">
              <w:rPr>
                <w:rFonts w:asciiTheme="majorHAnsi" w:hAnsiTheme="majorHAnsi" w:cstheme="majorHAnsi"/>
                <w:sz w:val="20"/>
                <w:szCs w:val="20"/>
                <w:lang w:val="fr-029"/>
              </w:rPr>
              <w:t>• Ajustez la dose et revérifiez les niveaux de plasma jusqu'à ce que la lithémie cible soit atteinte et stable.</w:t>
            </w:r>
          </w:p>
        </w:tc>
      </w:tr>
    </w:tbl>
    <w:p w14:paraId="7BEF29D7" w14:textId="15DE536F" w:rsidR="003E2D52" w:rsidRPr="00433ED1" w:rsidRDefault="003E2D52" w:rsidP="009C7F48">
      <w:pPr>
        <w:spacing w:before="8" w:after="8" w:line="240" w:lineRule="auto"/>
        <w:rPr>
          <w:rFonts w:asciiTheme="majorHAnsi" w:hAnsiTheme="majorHAnsi" w:cstheme="majorHAnsi"/>
          <w:sz w:val="13"/>
          <w:szCs w:val="13"/>
          <w:lang w:val="fr-BE"/>
        </w:rPr>
      </w:pPr>
    </w:p>
    <w:p w14:paraId="1BB2A579" w14:textId="77777777" w:rsidR="00AD26E1" w:rsidRPr="00433ED1" w:rsidRDefault="00AD26E1" w:rsidP="00AD26E1">
      <w:pPr>
        <w:spacing w:before="8" w:after="8" w:line="228" w:lineRule="auto"/>
        <w:ind w:left="-284" w:hanging="283"/>
        <w:rPr>
          <w:rFonts w:asciiTheme="majorHAnsi" w:hAnsiTheme="majorHAnsi" w:cstheme="majorHAnsi"/>
          <w:b/>
          <w:bCs/>
          <w:sz w:val="19"/>
          <w:szCs w:val="19"/>
          <w:lang w:val="fr-BE"/>
        </w:rPr>
      </w:pPr>
    </w:p>
    <w:p w14:paraId="33069795" w14:textId="77777777" w:rsidR="005B4A40" w:rsidRPr="00BD6F31" w:rsidRDefault="005B4A40" w:rsidP="005B4A40">
      <w:pPr>
        <w:spacing w:before="8" w:after="8" w:line="228" w:lineRule="auto"/>
        <w:ind w:left="-284" w:hanging="283"/>
        <w:rPr>
          <w:rFonts w:asciiTheme="majorHAnsi" w:hAnsiTheme="majorHAnsi" w:cstheme="majorHAnsi"/>
          <w:b/>
          <w:bCs/>
          <w:sz w:val="19"/>
          <w:szCs w:val="19"/>
          <w:lang w:val="fr-FR"/>
        </w:rPr>
      </w:pPr>
      <w:r w:rsidRPr="00BD6F31">
        <w:rPr>
          <w:rFonts w:asciiTheme="majorHAnsi" w:hAnsiTheme="majorHAnsi" w:cstheme="majorHAnsi"/>
          <w:b/>
          <w:bCs/>
          <w:sz w:val="19"/>
          <w:szCs w:val="19"/>
          <w:lang w:val="fr-FR"/>
        </w:rPr>
        <w:t xml:space="preserve">Note de bas de page 1: des directives nationales sur l'initiation et le maintien du lithium sont disponibles </w:t>
      </w:r>
      <w:hyperlink r:id="rId55" w:history="1">
        <w:r w:rsidRPr="00BD6F31">
          <w:rPr>
            <w:rStyle w:val="Lienhypertexte"/>
            <w:rFonts w:asciiTheme="majorHAnsi" w:hAnsiTheme="majorHAnsi" w:cstheme="majorHAnsi"/>
            <w:b/>
            <w:bCs/>
            <w:sz w:val="19"/>
            <w:szCs w:val="19"/>
            <w:lang w:val="fr-FR"/>
          </w:rPr>
          <w:t>ici</w:t>
        </w:r>
      </w:hyperlink>
      <w:r w:rsidRPr="00BD6F31">
        <w:rPr>
          <w:rFonts w:asciiTheme="majorHAnsi" w:hAnsiTheme="majorHAnsi" w:cstheme="majorHAnsi"/>
          <w:b/>
          <w:bCs/>
          <w:sz w:val="19"/>
          <w:szCs w:val="19"/>
          <w:lang w:val="fr-FR"/>
        </w:rPr>
        <w:t xml:space="preserve"> </w:t>
      </w:r>
    </w:p>
    <w:p w14:paraId="1EF1F830" w14:textId="77777777" w:rsidR="005B4A40" w:rsidRPr="00BD6F31" w:rsidRDefault="005B4A40" w:rsidP="005B4A40">
      <w:pPr>
        <w:spacing w:before="8" w:after="8" w:line="228" w:lineRule="auto"/>
        <w:ind w:left="-284" w:hanging="283"/>
        <w:rPr>
          <w:rFonts w:asciiTheme="majorHAnsi" w:hAnsiTheme="majorHAnsi" w:cstheme="majorHAnsi"/>
          <w:b/>
          <w:bCs/>
          <w:sz w:val="19"/>
          <w:szCs w:val="19"/>
          <w:lang w:val="fr-FR"/>
        </w:rPr>
      </w:pPr>
    </w:p>
    <w:p w14:paraId="43CB00BC" w14:textId="77777777" w:rsidR="005B4A40" w:rsidRPr="00BD6F31" w:rsidRDefault="005B4A40" w:rsidP="005B4A40">
      <w:pPr>
        <w:spacing w:before="8" w:after="8" w:line="228" w:lineRule="auto"/>
        <w:ind w:left="-284" w:hanging="283"/>
        <w:rPr>
          <w:rFonts w:asciiTheme="majorHAnsi" w:hAnsiTheme="majorHAnsi" w:cstheme="majorHAnsi"/>
          <w:b/>
          <w:bCs/>
          <w:sz w:val="19"/>
          <w:szCs w:val="19"/>
          <w:lang w:val="fr-FR"/>
        </w:rPr>
      </w:pPr>
      <w:r w:rsidRPr="00BD6F31">
        <w:rPr>
          <w:rFonts w:asciiTheme="majorHAnsi" w:hAnsiTheme="majorHAnsi" w:cstheme="majorHAnsi"/>
          <w:b/>
          <w:bCs/>
          <w:sz w:val="19"/>
          <w:szCs w:val="19"/>
          <w:lang w:val="fr-FR"/>
        </w:rPr>
        <w:t>Examens à pratiquer avant le traitement :</w:t>
      </w:r>
    </w:p>
    <w:p w14:paraId="5DE80815" w14:textId="4A166EB9" w:rsidR="005B4A40" w:rsidRPr="00BD6F31" w:rsidRDefault="005B4A40" w:rsidP="005B4A40">
      <w:pPr>
        <w:numPr>
          <w:ilvl w:val="0"/>
          <w:numId w:val="24"/>
        </w:numPr>
        <w:spacing w:before="8" w:after="8" w:line="228" w:lineRule="auto"/>
        <w:ind w:left="-142" w:hanging="284"/>
        <w:rPr>
          <w:rFonts w:asciiTheme="majorHAnsi" w:hAnsiTheme="majorHAnsi" w:cstheme="majorHAnsi"/>
          <w:sz w:val="19"/>
          <w:szCs w:val="19"/>
          <w:lang w:val="fr-FR"/>
        </w:rPr>
      </w:pPr>
      <w:r w:rsidRPr="00BD6F31">
        <w:rPr>
          <w:rFonts w:asciiTheme="majorHAnsi" w:hAnsiTheme="majorHAnsi" w:cstheme="majorHAnsi"/>
          <w:sz w:val="19"/>
          <w:szCs w:val="19"/>
          <w:lang w:val="fr-FR"/>
        </w:rPr>
        <w:t>Lithémie, Ionogramme sanguin, cal</w:t>
      </w:r>
      <w:r w:rsidR="00681190">
        <w:rPr>
          <w:rFonts w:asciiTheme="majorHAnsi" w:hAnsiTheme="majorHAnsi" w:cstheme="majorHAnsi"/>
          <w:sz w:val="19"/>
          <w:szCs w:val="19"/>
          <w:lang w:val="fr-FR"/>
        </w:rPr>
        <w:t>c</w:t>
      </w:r>
      <w:r w:rsidRPr="00BD6F31">
        <w:rPr>
          <w:rFonts w:asciiTheme="majorHAnsi" w:hAnsiTheme="majorHAnsi" w:cstheme="majorHAnsi"/>
          <w:sz w:val="19"/>
          <w:szCs w:val="19"/>
          <w:lang w:val="fr-FR"/>
        </w:rPr>
        <w:t xml:space="preserve">émie, albuminémie, créatininémie, urémie, clairance de la créatinine, TSH &amp;T4, protéinurie, glycosurie </w:t>
      </w:r>
    </w:p>
    <w:p w14:paraId="298AFB07" w14:textId="77777777" w:rsidR="005B4A40" w:rsidRPr="00BD6F31" w:rsidRDefault="005B4A40" w:rsidP="005B4A40">
      <w:pPr>
        <w:numPr>
          <w:ilvl w:val="0"/>
          <w:numId w:val="24"/>
        </w:numPr>
        <w:spacing w:before="8" w:after="8" w:line="228" w:lineRule="auto"/>
        <w:ind w:left="-142" w:hanging="284"/>
        <w:rPr>
          <w:rFonts w:asciiTheme="majorHAnsi" w:hAnsiTheme="majorHAnsi" w:cstheme="majorHAnsi"/>
          <w:sz w:val="19"/>
          <w:szCs w:val="19"/>
          <w:lang w:val="fr-FR"/>
        </w:rPr>
      </w:pPr>
      <w:r w:rsidRPr="00BD6F31">
        <w:rPr>
          <w:rFonts w:asciiTheme="majorHAnsi" w:hAnsiTheme="majorHAnsi" w:cstheme="majorHAnsi"/>
          <w:sz w:val="19"/>
          <w:szCs w:val="19"/>
          <w:lang w:val="fr-FR"/>
        </w:rPr>
        <w:t>ECG</w:t>
      </w:r>
    </w:p>
    <w:p w14:paraId="53CCF683" w14:textId="77777777" w:rsidR="005B4A40" w:rsidRPr="00BD6F31" w:rsidRDefault="005B4A40" w:rsidP="005B4A40">
      <w:pPr>
        <w:numPr>
          <w:ilvl w:val="0"/>
          <w:numId w:val="24"/>
        </w:numPr>
        <w:spacing w:before="8" w:after="8" w:line="228" w:lineRule="auto"/>
        <w:ind w:left="-142" w:hanging="284"/>
        <w:rPr>
          <w:rFonts w:asciiTheme="majorHAnsi" w:hAnsiTheme="majorHAnsi" w:cstheme="majorHAnsi"/>
          <w:sz w:val="19"/>
          <w:szCs w:val="19"/>
          <w:lang w:val="fr-FR"/>
        </w:rPr>
      </w:pPr>
      <w:r w:rsidRPr="00BD6F31">
        <w:rPr>
          <w:rFonts w:asciiTheme="majorHAnsi" w:hAnsiTheme="majorHAnsi" w:cstheme="majorHAnsi"/>
          <w:sz w:val="19"/>
          <w:szCs w:val="19"/>
          <w:lang w:val="fr-FR"/>
        </w:rPr>
        <w:t>EEG</w:t>
      </w:r>
    </w:p>
    <w:p w14:paraId="7919D78D" w14:textId="77777777" w:rsidR="005B4A40" w:rsidRPr="00BD6F31" w:rsidRDefault="005B4A40" w:rsidP="005B4A40">
      <w:pPr>
        <w:spacing w:before="8" w:after="8" w:line="228" w:lineRule="auto"/>
        <w:ind w:left="-426"/>
        <w:rPr>
          <w:rFonts w:asciiTheme="majorHAnsi" w:hAnsiTheme="majorHAnsi" w:cstheme="majorHAnsi"/>
          <w:sz w:val="19"/>
          <w:szCs w:val="19"/>
          <w:lang w:val="fr-FR"/>
        </w:rPr>
      </w:pPr>
    </w:p>
    <w:p w14:paraId="6F6F45DD" w14:textId="77777777" w:rsidR="005B4A40" w:rsidRPr="00BD6F31" w:rsidRDefault="005B4A40" w:rsidP="005B4A40">
      <w:pPr>
        <w:spacing w:before="8" w:after="8" w:line="228" w:lineRule="auto"/>
        <w:ind w:left="-284" w:hanging="283"/>
        <w:rPr>
          <w:rFonts w:asciiTheme="majorHAnsi" w:hAnsiTheme="majorHAnsi" w:cstheme="majorHAnsi"/>
          <w:b/>
          <w:bCs/>
          <w:sz w:val="19"/>
          <w:szCs w:val="19"/>
          <w:lang w:val="fr-FR"/>
        </w:rPr>
      </w:pPr>
      <w:r w:rsidRPr="00BD6F31">
        <w:rPr>
          <w:rFonts w:asciiTheme="majorHAnsi" w:hAnsiTheme="majorHAnsi" w:cstheme="majorHAnsi"/>
          <w:b/>
          <w:bCs/>
          <w:sz w:val="19"/>
          <w:szCs w:val="19"/>
          <w:lang w:val="fr-FR"/>
        </w:rPr>
        <w:t xml:space="preserve">Examens à pratiquer au cours du traitement : </w:t>
      </w:r>
    </w:p>
    <w:p w14:paraId="1AD8230D" w14:textId="77777777" w:rsidR="005B4A40" w:rsidRPr="00BD6F31" w:rsidRDefault="005B4A40" w:rsidP="005B4A40">
      <w:pPr>
        <w:numPr>
          <w:ilvl w:val="0"/>
          <w:numId w:val="24"/>
        </w:numPr>
        <w:spacing w:before="8" w:after="8" w:line="228" w:lineRule="auto"/>
        <w:ind w:left="-142" w:hanging="284"/>
        <w:rPr>
          <w:rFonts w:asciiTheme="majorHAnsi" w:hAnsiTheme="majorHAnsi" w:cstheme="majorHAnsi"/>
          <w:sz w:val="19"/>
          <w:szCs w:val="19"/>
          <w:lang w:val="fr-FR"/>
        </w:rPr>
      </w:pPr>
      <w:r w:rsidRPr="00BD6F31">
        <w:rPr>
          <w:rFonts w:asciiTheme="majorHAnsi" w:hAnsiTheme="majorHAnsi" w:cstheme="majorHAnsi"/>
          <w:sz w:val="19"/>
          <w:szCs w:val="19"/>
          <w:lang w:val="fr-FR"/>
        </w:rPr>
        <w:t>Dosage de la lithémie : prélèvement le matin, 12 heures après la dernière prise</w:t>
      </w:r>
    </w:p>
    <w:p w14:paraId="70C5759F" w14:textId="77777777" w:rsidR="005B4A40" w:rsidRPr="00BD6F31" w:rsidRDefault="005B4A40" w:rsidP="005B4A40">
      <w:pPr>
        <w:numPr>
          <w:ilvl w:val="1"/>
          <w:numId w:val="24"/>
        </w:numPr>
        <w:spacing w:before="8" w:after="8" w:line="228" w:lineRule="auto"/>
        <w:rPr>
          <w:rFonts w:asciiTheme="majorHAnsi" w:hAnsiTheme="majorHAnsi" w:cstheme="majorHAnsi"/>
          <w:sz w:val="19"/>
          <w:szCs w:val="19"/>
          <w:lang w:val="fr-FR"/>
        </w:rPr>
      </w:pPr>
      <w:proofErr w:type="gramStart"/>
      <w:r w:rsidRPr="00BD6F31">
        <w:rPr>
          <w:rFonts w:asciiTheme="majorHAnsi" w:hAnsiTheme="majorHAnsi" w:cstheme="majorHAnsi"/>
          <w:sz w:val="19"/>
          <w:szCs w:val="19"/>
          <w:lang w:val="fr-FR"/>
        </w:rPr>
        <w:t>tous</w:t>
      </w:r>
      <w:proofErr w:type="gramEnd"/>
      <w:r w:rsidRPr="00BD6F31">
        <w:rPr>
          <w:rFonts w:asciiTheme="majorHAnsi" w:hAnsiTheme="majorHAnsi" w:cstheme="majorHAnsi"/>
          <w:sz w:val="19"/>
          <w:szCs w:val="19"/>
          <w:lang w:val="fr-FR"/>
        </w:rPr>
        <w:t xml:space="preserve"> les 5 jours jusqu’à l’obtention d’une lithémie efficace, stable, en zone thérapeutique, sur 3 dosages successifs </w:t>
      </w:r>
    </w:p>
    <w:p w14:paraId="623E550A" w14:textId="77777777" w:rsidR="005B4A40" w:rsidRPr="00BD6F31" w:rsidRDefault="005B4A40" w:rsidP="005B4A40">
      <w:pPr>
        <w:numPr>
          <w:ilvl w:val="1"/>
          <w:numId w:val="24"/>
        </w:numPr>
        <w:spacing w:before="8" w:after="8" w:line="228" w:lineRule="auto"/>
        <w:rPr>
          <w:rFonts w:asciiTheme="majorHAnsi" w:hAnsiTheme="majorHAnsi" w:cstheme="majorHAnsi"/>
          <w:sz w:val="19"/>
          <w:szCs w:val="19"/>
          <w:lang w:val="fr-FR"/>
        </w:rPr>
      </w:pPr>
      <w:proofErr w:type="gramStart"/>
      <w:r w:rsidRPr="00BD6F31">
        <w:rPr>
          <w:rFonts w:asciiTheme="majorHAnsi" w:hAnsiTheme="majorHAnsi" w:cstheme="majorHAnsi"/>
          <w:sz w:val="19"/>
          <w:szCs w:val="19"/>
          <w:lang w:val="fr-FR"/>
        </w:rPr>
        <w:t>puis</w:t>
      </w:r>
      <w:proofErr w:type="gramEnd"/>
      <w:r w:rsidRPr="00BD6F31">
        <w:rPr>
          <w:rFonts w:asciiTheme="majorHAnsi" w:hAnsiTheme="majorHAnsi" w:cstheme="majorHAnsi"/>
          <w:sz w:val="19"/>
          <w:szCs w:val="19"/>
          <w:lang w:val="fr-FR"/>
        </w:rPr>
        <w:t xml:space="preserve"> tous les mois pendant 3 mois puis tous les 6 mois.</w:t>
      </w:r>
    </w:p>
    <w:p w14:paraId="0C513947" w14:textId="77777777" w:rsidR="005B4A40" w:rsidRPr="00BD6F31" w:rsidRDefault="005B4A40" w:rsidP="005B4A40">
      <w:pPr>
        <w:pStyle w:val="Paragraphedeliste"/>
        <w:numPr>
          <w:ilvl w:val="0"/>
          <w:numId w:val="25"/>
        </w:numPr>
        <w:spacing w:before="8" w:after="8" w:line="228" w:lineRule="auto"/>
        <w:ind w:left="-142"/>
        <w:rPr>
          <w:rFonts w:asciiTheme="majorHAnsi" w:hAnsiTheme="majorHAnsi" w:cstheme="majorHAnsi"/>
          <w:sz w:val="19"/>
          <w:szCs w:val="19"/>
          <w:lang w:val="fr-FR"/>
        </w:rPr>
      </w:pPr>
      <w:r w:rsidRPr="00BD6F31">
        <w:rPr>
          <w:rFonts w:asciiTheme="majorHAnsi" w:hAnsiTheme="majorHAnsi" w:cstheme="majorHAnsi"/>
          <w:sz w:val="19"/>
          <w:szCs w:val="19"/>
          <w:lang w:val="fr-FR"/>
        </w:rPr>
        <w:t>La zone thérapeutique est :</w:t>
      </w:r>
    </w:p>
    <w:p w14:paraId="230F07B3" w14:textId="77777777" w:rsidR="005B4A40" w:rsidRPr="00BD6F31" w:rsidRDefault="005B4A40" w:rsidP="005B4A40">
      <w:pPr>
        <w:numPr>
          <w:ilvl w:val="1"/>
          <w:numId w:val="25"/>
        </w:numPr>
        <w:spacing w:before="8" w:after="8" w:line="228" w:lineRule="auto"/>
        <w:rPr>
          <w:rFonts w:asciiTheme="majorHAnsi" w:hAnsiTheme="majorHAnsi" w:cstheme="majorHAnsi"/>
          <w:sz w:val="19"/>
          <w:szCs w:val="19"/>
          <w:lang w:val="fr-FR"/>
        </w:rPr>
      </w:pPr>
      <w:r w:rsidRPr="00BD6F31">
        <w:rPr>
          <w:rFonts w:asciiTheme="majorHAnsi" w:hAnsiTheme="majorHAnsi" w:cstheme="majorHAnsi"/>
          <w:sz w:val="19"/>
          <w:szCs w:val="19"/>
          <w:lang w:val="fr-FR"/>
        </w:rPr>
        <w:t>* 0,5–0,8 mEq/L pour la forme à libération immédiate (250 mg) ;</w:t>
      </w:r>
    </w:p>
    <w:p w14:paraId="12A72CA1" w14:textId="77777777" w:rsidR="005B4A40" w:rsidRPr="00BD6F31" w:rsidRDefault="005B4A40" w:rsidP="005B4A40">
      <w:pPr>
        <w:numPr>
          <w:ilvl w:val="1"/>
          <w:numId w:val="25"/>
        </w:numPr>
        <w:spacing w:before="8" w:after="8" w:line="228" w:lineRule="auto"/>
        <w:rPr>
          <w:rFonts w:asciiTheme="majorHAnsi" w:hAnsiTheme="majorHAnsi" w:cstheme="majorHAnsi"/>
          <w:sz w:val="19"/>
          <w:szCs w:val="19"/>
          <w:lang w:val="fr-FR"/>
        </w:rPr>
      </w:pPr>
      <w:r w:rsidRPr="00BD6F31">
        <w:rPr>
          <w:rFonts w:asciiTheme="majorHAnsi" w:hAnsiTheme="majorHAnsi" w:cstheme="majorHAnsi"/>
          <w:sz w:val="19"/>
          <w:szCs w:val="19"/>
          <w:lang w:val="fr-FR"/>
        </w:rPr>
        <w:t>* 0,8–1,2 mEq/L pour la forme à libération prolongée (LP 400 mg).</w:t>
      </w:r>
    </w:p>
    <w:p w14:paraId="3267E4B8" w14:textId="77777777" w:rsidR="005B4A40" w:rsidRPr="00BD6F31" w:rsidRDefault="005B4A40" w:rsidP="005B4A40">
      <w:pPr>
        <w:spacing w:before="8" w:after="8" w:line="228" w:lineRule="auto"/>
        <w:rPr>
          <w:rFonts w:asciiTheme="majorHAnsi" w:hAnsiTheme="majorHAnsi" w:cstheme="majorHAnsi"/>
          <w:sz w:val="19"/>
          <w:szCs w:val="19"/>
          <w:lang w:val="fr-FR"/>
        </w:rPr>
      </w:pPr>
    </w:p>
    <w:p w14:paraId="56BE4494" w14:textId="77777777" w:rsidR="005B4A40" w:rsidRPr="00BD6F31" w:rsidRDefault="005B4A40" w:rsidP="005B4A40">
      <w:pPr>
        <w:numPr>
          <w:ilvl w:val="0"/>
          <w:numId w:val="24"/>
        </w:numPr>
        <w:spacing w:before="8" w:after="8" w:line="228" w:lineRule="auto"/>
        <w:ind w:left="-142" w:hanging="284"/>
        <w:rPr>
          <w:rFonts w:asciiTheme="majorHAnsi" w:hAnsiTheme="majorHAnsi" w:cstheme="majorHAnsi"/>
          <w:sz w:val="19"/>
          <w:szCs w:val="19"/>
          <w:lang w:val="fr-FR"/>
        </w:rPr>
      </w:pPr>
      <w:r w:rsidRPr="00BD6F31">
        <w:rPr>
          <w:rFonts w:asciiTheme="majorHAnsi" w:hAnsiTheme="majorHAnsi" w:cstheme="majorHAnsi"/>
          <w:sz w:val="19"/>
          <w:szCs w:val="19"/>
          <w:lang w:val="fr-FR"/>
        </w:rPr>
        <w:t>Tous les 6 mois :</w:t>
      </w:r>
    </w:p>
    <w:p w14:paraId="5C59C485" w14:textId="77777777" w:rsidR="005B4A40" w:rsidRPr="00BD6F31" w:rsidRDefault="005B4A40" w:rsidP="005B4A40">
      <w:pPr>
        <w:numPr>
          <w:ilvl w:val="1"/>
          <w:numId w:val="24"/>
        </w:numPr>
        <w:spacing w:before="8" w:after="8" w:line="228" w:lineRule="auto"/>
        <w:rPr>
          <w:rFonts w:asciiTheme="majorHAnsi" w:hAnsiTheme="majorHAnsi" w:cstheme="majorHAnsi"/>
          <w:sz w:val="19"/>
          <w:szCs w:val="19"/>
          <w:lang w:val="fr-FR"/>
        </w:rPr>
      </w:pPr>
      <w:r w:rsidRPr="00BD6F31">
        <w:rPr>
          <w:rFonts w:asciiTheme="majorHAnsi" w:hAnsiTheme="majorHAnsi" w:cstheme="majorHAnsi"/>
          <w:sz w:val="19"/>
          <w:szCs w:val="19"/>
          <w:lang w:val="fr-FR"/>
        </w:rPr>
        <w:t xml:space="preserve">Ionogramme sanguin, albuminémie, créatininémie, urémie, clairance de la créatinine, TSH &amp;T4, protéinurie, glycosurie </w:t>
      </w:r>
    </w:p>
    <w:p w14:paraId="7AD50B96" w14:textId="77777777" w:rsidR="005B4A40" w:rsidRPr="00BD6F31" w:rsidRDefault="005B4A40" w:rsidP="005B4A40">
      <w:pPr>
        <w:numPr>
          <w:ilvl w:val="0"/>
          <w:numId w:val="24"/>
        </w:numPr>
        <w:spacing w:before="8" w:after="8" w:line="228" w:lineRule="auto"/>
        <w:ind w:left="-142" w:hanging="284"/>
        <w:rPr>
          <w:rFonts w:asciiTheme="majorHAnsi" w:hAnsiTheme="majorHAnsi" w:cstheme="majorHAnsi"/>
          <w:sz w:val="19"/>
          <w:szCs w:val="19"/>
          <w:lang w:val="fr-FR"/>
        </w:rPr>
      </w:pPr>
      <w:r w:rsidRPr="00BD6F31">
        <w:rPr>
          <w:rFonts w:asciiTheme="majorHAnsi" w:hAnsiTheme="majorHAnsi" w:cstheme="majorHAnsi"/>
          <w:sz w:val="19"/>
          <w:szCs w:val="19"/>
          <w:lang w:val="fr-FR"/>
        </w:rPr>
        <w:lastRenderedPageBreak/>
        <w:t>Tous les ans :</w:t>
      </w:r>
    </w:p>
    <w:p w14:paraId="5A2A8190" w14:textId="77777777" w:rsidR="005B4A40" w:rsidRPr="00BD6F31" w:rsidRDefault="005B4A40" w:rsidP="005B4A40">
      <w:pPr>
        <w:numPr>
          <w:ilvl w:val="1"/>
          <w:numId w:val="24"/>
        </w:numPr>
        <w:spacing w:before="8" w:after="8" w:line="228" w:lineRule="auto"/>
        <w:rPr>
          <w:rFonts w:asciiTheme="majorHAnsi" w:hAnsiTheme="majorHAnsi" w:cstheme="majorHAnsi"/>
          <w:sz w:val="19"/>
          <w:szCs w:val="19"/>
          <w:lang w:val="fr-FR"/>
        </w:rPr>
      </w:pPr>
      <w:r w:rsidRPr="00BD6F31">
        <w:rPr>
          <w:rFonts w:asciiTheme="majorHAnsi" w:hAnsiTheme="majorHAnsi" w:cstheme="majorHAnsi"/>
          <w:sz w:val="19"/>
          <w:szCs w:val="19"/>
          <w:lang w:val="fr-FR"/>
        </w:rPr>
        <w:t>Calcémie</w:t>
      </w:r>
      <w:r>
        <w:rPr>
          <w:rFonts w:asciiTheme="majorHAnsi" w:hAnsiTheme="majorHAnsi" w:cstheme="majorHAnsi"/>
          <w:sz w:val="19"/>
          <w:szCs w:val="19"/>
          <w:lang w:val="fr-FR"/>
        </w:rPr>
        <w:t xml:space="preserve">, </w:t>
      </w:r>
      <w:r w:rsidRPr="00BD6F31">
        <w:rPr>
          <w:rFonts w:asciiTheme="majorHAnsi" w:hAnsiTheme="majorHAnsi" w:cstheme="majorHAnsi"/>
          <w:sz w:val="19"/>
          <w:szCs w:val="19"/>
          <w:lang w:val="fr-FR"/>
        </w:rPr>
        <w:t>albuminémie et ECG</w:t>
      </w:r>
    </w:p>
    <w:p w14:paraId="023A143E" w14:textId="77777777" w:rsidR="00BD6F31" w:rsidRPr="000612A4" w:rsidRDefault="00BD6F31" w:rsidP="00BD6F31">
      <w:pPr>
        <w:spacing w:before="8" w:after="8" w:line="228" w:lineRule="auto"/>
        <w:rPr>
          <w:rFonts w:asciiTheme="majorHAnsi" w:hAnsiTheme="majorHAnsi" w:cstheme="majorHAnsi"/>
          <w:sz w:val="19"/>
          <w:szCs w:val="19"/>
        </w:rPr>
      </w:pPr>
    </w:p>
    <w:p w14:paraId="007AD824" w14:textId="77777777" w:rsidR="000612A4" w:rsidRDefault="000612A4" w:rsidP="000612A4">
      <w:pPr>
        <w:spacing w:before="8" w:after="8" w:line="228" w:lineRule="auto"/>
        <w:ind w:left="-426"/>
        <w:rPr>
          <w:rFonts w:asciiTheme="majorHAnsi" w:hAnsiTheme="majorHAnsi" w:cstheme="majorHAnsi"/>
          <w:sz w:val="19"/>
          <w:szCs w:val="19"/>
        </w:rPr>
      </w:pPr>
    </w:p>
    <w:sectPr w:rsidR="000612A4" w:rsidSect="00C134AF">
      <w:footerReference w:type="even" r:id="rId56"/>
      <w:footerReference w:type="default" r:id="rId57"/>
      <w:pgSz w:w="16838" w:h="11906" w:orient="landscape"/>
      <w:pgMar w:top="720" w:right="1440" w:bottom="72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8CF1B" w14:textId="77777777" w:rsidR="001F654E" w:rsidRDefault="001F654E" w:rsidP="005414C1">
      <w:pPr>
        <w:spacing w:after="0" w:line="240" w:lineRule="auto"/>
      </w:pPr>
      <w:r>
        <w:separator/>
      </w:r>
    </w:p>
  </w:endnote>
  <w:endnote w:type="continuationSeparator" w:id="0">
    <w:p w14:paraId="4310B6B5" w14:textId="77777777" w:rsidR="001F654E" w:rsidRDefault="001F654E" w:rsidP="0054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950440190"/>
      <w:docPartObj>
        <w:docPartGallery w:val="Page Numbers (Bottom of Page)"/>
        <w:docPartUnique/>
      </w:docPartObj>
    </w:sdtPr>
    <w:sdtEndPr>
      <w:rPr>
        <w:rStyle w:val="Numrodepage"/>
      </w:rPr>
    </w:sdtEndPr>
    <w:sdtContent>
      <w:p w14:paraId="0B82B7AA" w14:textId="3919580B" w:rsidR="00D2565A" w:rsidRDefault="00D2565A" w:rsidP="00457C3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688DC92" w14:textId="77777777" w:rsidR="00D2565A" w:rsidRDefault="00D2565A" w:rsidP="009E55C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504885936"/>
      <w:docPartObj>
        <w:docPartGallery w:val="Page Numbers (Bottom of Page)"/>
        <w:docPartUnique/>
      </w:docPartObj>
    </w:sdtPr>
    <w:sdtEndPr>
      <w:rPr>
        <w:rStyle w:val="Numrodepage"/>
      </w:rPr>
    </w:sdtEndPr>
    <w:sdtContent>
      <w:p w14:paraId="445E9BA3" w14:textId="5472B0A7" w:rsidR="00D2565A" w:rsidRDefault="00D2565A" w:rsidP="00457C3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243946D2" w14:textId="77777777" w:rsidR="00D2565A" w:rsidRDefault="00D2565A" w:rsidP="009E55C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084FC" w14:textId="77777777" w:rsidR="001F654E" w:rsidRDefault="001F654E" w:rsidP="005414C1">
      <w:pPr>
        <w:spacing w:after="0" w:line="240" w:lineRule="auto"/>
      </w:pPr>
      <w:r>
        <w:separator/>
      </w:r>
    </w:p>
  </w:footnote>
  <w:footnote w:type="continuationSeparator" w:id="0">
    <w:p w14:paraId="722DBD5B" w14:textId="77777777" w:rsidR="001F654E" w:rsidRDefault="001F654E" w:rsidP="00541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3BA2"/>
    <w:multiLevelType w:val="hybridMultilevel"/>
    <w:tmpl w:val="B9BC0DC4"/>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02E16BF"/>
    <w:multiLevelType w:val="hybridMultilevel"/>
    <w:tmpl w:val="C58E7472"/>
    <w:lvl w:ilvl="0" w:tplc="AA621092">
      <w:numFmt w:val="bullet"/>
      <w:lvlText w:val="•"/>
      <w:lvlJc w:val="left"/>
      <w:pPr>
        <w:ind w:left="720" w:hanging="360"/>
      </w:pPr>
      <w:rPr>
        <w:rFonts w:ascii="Calibri Light" w:eastAsiaTheme="minorHAnsi" w:hAnsi="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2E1B92"/>
    <w:multiLevelType w:val="multilevel"/>
    <w:tmpl w:val="2FA414D2"/>
    <w:lvl w:ilvl="0">
      <w:numFmt w:val="bullet"/>
      <w:lvlText w:val="•"/>
      <w:lvlJc w:val="left"/>
      <w:pPr>
        <w:ind w:left="72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4E57878"/>
    <w:multiLevelType w:val="hybridMultilevel"/>
    <w:tmpl w:val="D700CDE8"/>
    <w:lvl w:ilvl="0" w:tplc="26340A8A">
      <w:numFmt w:val="bullet"/>
      <w:lvlText w:val="•"/>
      <w:lvlJc w:val="left"/>
      <w:pPr>
        <w:ind w:left="720" w:hanging="360"/>
      </w:pPr>
      <w:rPr>
        <w:rFonts w:ascii="Calibri Light" w:eastAsiaTheme="minorHAnsi"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A1030FE"/>
    <w:multiLevelType w:val="hybridMultilevel"/>
    <w:tmpl w:val="5E6AA1D0"/>
    <w:lvl w:ilvl="0" w:tplc="6B8C749C">
      <w:start w:val="1"/>
      <w:numFmt w:val="bullet"/>
      <w:lvlText w:val="•"/>
      <w:lvlJc w:val="left"/>
      <w:pPr>
        <w:ind w:left="720" w:hanging="360"/>
      </w:pPr>
      <w:rPr>
        <w:rFonts w:ascii="Calibri Light" w:hAnsi="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D4D0425"/>
    <w:multiLevelType w:val="hybridMultilevel"/>
    <w:tmpl w:val="4314D132"/>
    <w:lvl w:ilvl="0" w:tplc="88B058D6">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FD51BCC"/>
    <w:multiLevelType w:val="hybridMultilevel"/>
    <w:tmpl w:val="25EC2D82"/>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2D8190C"/>
    <w:multiLevelType w:val="hybridMultilevel"/>
    <w:tmpl w:val="34260AAA"/>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7AB3600"/>
    <w:multiLevelType w:val="hybridMultilevel"/>
    <w:tmpl w:val="A8D8F0AE"/>
    <w:lvl w:ilvl="0" w:tplc="AA621092">
      <w:numFmt w:val="bullet"/>
      <w:lvlText w:val="•"/>
      <w:lvlJc w:val="left"/>
      <w:pPr>
        <w:ind w:left="720" w:hanging="360"/>
      </w:pPr>
      <w:rPr>
        <w:rFonts w:ascii="Calibri Light" w:eastAsiaTheme="minorHAnsi" w:hAnsi="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783477"/>
    <w:multiLevelType w:val="hybridMultilevel"/>
    <w:tmpl w:val="0338D9CC"/>
    <w:lvl w:ilvl="0" w:tplc="DDF461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9837A51"/>
    <w:multiLevelType w:val="hybridMultilevel"/>
    <w:tmpl w:val="81E6CF24"/>
    <w:lvl w:ilvl="0" w:tplc="205E211C">
      <w:start w:val="1"/>
      <w:numFmt w:val="bullet"/>
      <w:lvlText w:val="•"/>
      <w:lvlJc w:val="left"/>
      <w:pPr>
        <w:tabs>
          <w:tab w:val="num" w:pos="720"/>
        </w:tabs>
        <w:ind w:left="720" w:hanging="360"/>
      </w:pPr>
      <w:rPr>
        <w:rFonts w:ascii="Times New Roman" w:hAnsi="Times New Roman" w:hint="default"/>
      </w:rPr>
    </w:lvl>
    <w:lvl w:ilvl="1" w:tplc="919CA60E" w:tentative="1">
      <w:start w:val="1"/>
      <w:numFmt w:val="bullet"/>
      <w:lvlText w:val="•"/>
      <w:lvlJc w:val="left"/>
      <w:pPr>
        <w:tabs>
          <w:tab w:val="num" w:pos="1440"/>
        </w:tabs>
        <w:ind w:left="1440" w:hanging="360"/>
      </w:pPr>
      <w:rPr>
        <w:rFonts w:ascii="Times New Roman" w:hAnsi="Times New Roman" w:hint="default"/>
      </w:rPr>
    </w:lvl>
    <w:lvl w:ilvl="2" w:tplc="D6FC4116" w:tentative="1">
      <w:start w:val="1"/>
      <w:numFmt w:val="bullet"/>
      <w:lvlText w:val="•"/>
      <w:lvlJc w:val="left"/>
      <w:pPr>
        <w:tabs>
          <w:tab w:val="num" w:pos="2160"/>
        </w:tabs>
        <w:ind w:left="2160" w:hanging="360"/>
      </w:pPr>
      <w:rPr>
        <w:rFonts w:ascii="Times New Roman" w:hAnsi="Times New Roman" w:hint="default"/>
      </w:rPr>
    </w:lvl>
    <w:lvl w:ilvl="3" w:tplc="574EC5A2" w:tentative="1">
      <w:start w:val="1"/>
      <w:numFmt w:val="bullet"/>
      <w:lvlText w:val="•"/>
      <w:lvlJc w:val="left"/>
      <w:pPr>
        <w:tabs>
          <w:tab w:val="num" w:pos="2880"/>
        </w:tabs>
        <w:ind w:left="2880" w:hanging="360"/>
      </w:pPr>
      <w:rPr>
        <w:rFonts w:ascii="Times New Roman" w:hAnsi="Times New Roman" w:hint="default"/>
      </w:rPr>
    </w:lvl>
    <w:lvl w:ilvl="4" w:tplc="711A524E" w:tentative="1">
      <w:start w:val="1"/>
      <w:numFmt w:val="bullet"/>
      <w:lvlText w:val="•"/>
      <w:lvlJc w:val="left"/>
      <w:pPr>
        <w:tabs>
          <w:tab w:val="num" w:pos="3600"/>
        </w:tabs>
        <w:ind w:left="3600" w:hanging="360"/>
      </w:pPr>
      <w:rPr>
        <w:rFonts w:ascii="Times New Roman" w:hAnsi="Times New Roman" w:hint="default"/>
      </w:rPr>
    </w:lvl>
    <w:lvl w:ilvl="5" w:tplc="DBEC87B0" w:tentative="1">
      <w:start w:val="1"/>
      <w:numFmt w:val="bullet"/>
      <w:lvlText w:val="•"/>
      <w:lvlJc w:val="left"/>
      <w:pPr>
        <w:tabs>
          <w:tab w:val="num" w:pos="4320"/>
        </w:tabs>
        <w:ind w:left="4320" w:hanging="360"/>
      </w:pPr>
      <w:rPr>
        <w:rFonts w:ascii="Times New Roman" w:hAnsi="Times New Roman" w:hint="default"/>
      </w:rPr>
    </w:lvl>
    <w:lvl w:ilvl="6" w:tplc="D70ED584" w:tentative="1">
      <w:start w:val="1"/>
      <w:numFmt w:val="bullet"/>
      <w:lvlText w:val="•"/>
      <w:lvlJc w:val="left"/>
      <w:pPr>
        <w:tabs>
          <w:tab w:val="num" w:pos="5040"/>
        </w:tabs>
        <w:ind w:left="5040" w:hanging="360"/>
      </w:pPr>
      <w:rPr>
        <w:rFonts w:ascii="Times New Roman" w:hAnsi="Times New Roman" w:hint="default"/>
      </w:rPr>
    </w:lvl>
    <w:lvl w:ilvl="7" w:tplc="DEEA6ACE" w:tentative="1">
      <w:start w:val="1"/>
      <w:numFmt w:val="bullet"/>
      <w:lvlText w:val="•"/>
      <w:lvlJc w:val="left"/>
      <w:pPr>
        <w:tabs>
          <w:tab w:val="num" w:pos="5760"/>
        </w:tabs>
        <w:ind w:left="5760" w:hanging="360"/>
      </w:pPr>
      <w:rPr>
        <w:rFonts w:ascii="Times New Roman" w:hAnsi="Times New Roman" w:hint="default"/>
      </w:rPr>
    </w:lvl>
    <w:lvl w:ilvl="8" w:tplc="C87CC66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C8377DF"/>
    <w:multiLevelType w:val="hybridMultilevel"/>
    <w:tmpl w:val="D556F3F2"/>
    <w:lvl w:ilvl="0" w:tplc="AA621092">
      <w:numFmt w:val="bullet"/>
      <w:lvlText w:val="•"/>
      <w:lvlJc w:val="left"/>
      <w:pPr>
        <w:ind w:left="720" w:hanging="360"/>
      </w:pPr>
      <w:rPr>
        <w:rFonts w:ascii="Calibri Light" w:eastAsiaTheme="minorHAnsi" w:hAnsi="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FA68DB"/>
    <w:multiLevelType w:val="hybridMultilevel"/>
    <w:tmpl w:val="CCD6D866"/>
    <w:lvl w:ilvl="0" w:tplc="26340A8A">
      <w:numFmt w:val="bullet"/>
      <w:lvlText w:val="•"/>
      <w:lvlJc w:val="left"/>
      <w:pPr>
        <w:ind w:left="720" w:hanging="360"/>
      </w:pPr>
      <w:rPr>
        <w:rFonts w:ascii="Calibri Light" w:eastAsiaTheme="minorHAnsi" w:hAnsi="Calibri Light" w:cs="Calibri Light" w:hint="default"/>
      </w:rPr>
    </w:lvl>
    <w:lvl w:ilvl="1" w:tplc="6B8C749C">
      <w:start w:val="1"/>
      <w:numFmt w:val="bullet"/>
      <w:lvlText w:val="•"/>
      <w:lvlJc w:val="left"/>
      <w:pPr>
        <w:ind w:left="720" w:hanging="360"/>
      </w:pPr>
      <w:rPr>
        <w:rFonts w:ascii="Calibri Light" w:hAnsi="Calibri Light"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F2C1E34"/>
    <w:multiLevelType w:val="hybridMultilevel"/>
    <w:tmpl w:val="B6B60E0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3496319"/>
    <w:multiLevelType w:val="hybridMultilevel"/>
    <w:tmpl w:val="14508EE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A622E29"/>
    <w:multiLevelType w:val="multilevel"/>
    <w:tmpl w:val="B9BC0DC4"/>
    <w:lvl w:ilvl="0">
      <w:numFmt w:val="bullet"/>
      <w:lvlText w:val="•"/>
      <w:lvlJc w:val="left"/>
      <w:pPr>
        <w:ind w:left="72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0F72097"/>
    <w:multiLevelType w:val="hybridMultilevel"/>
    <w:tmpl w:val="0DB2E7F4"/>
    <w:lvl w:ilvl="0" w:tplc="6B8C749C">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25F2052"/>
    <w:multiLevelType w:val="hybridMultilevel"/>
    <w:tmpl w:val="2954E48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34C1DAF"/>
    <w:multiLevelType w:val="hybridMultilevel"/>
    <w:tmpl w:val="E7AC46E4"/>
    <w:lvl w:ilvl="0" w:tplc="EB06E840">
      <w:numFmt w:val="bullet"/>
      <w:lvlText w:val="•"/>
      <w:lvlJc w:val="left"/>
      <w:pPr>
        <w:ind w:left="720" w:hanging="360"/>
      </w:pPr>
      <w:rPr>
        <w:rFonts w:ascii="Calibri Light" w:eastAsiaTheme="minorHAnsi" w:hAnsi="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FB24C18"/>
    <w:multiLevelType w:val="hybridMultilevel"/>
    <w:tmpl w:val="01A46236"/>
    <w:lvl w:ilvl="0" w:tplc="EB06E840">
      <w:numFmt w:val="bullet"/>
      <w:lvlText w:val="•"/>
      <w:lvlJc w:val="left"/>
      <w:pPr>
        <w:ind w:left="720" w:hanging="360"/>
      </w:pPr>
      <w:rPr>
        <w:rFonts w:ascii="Calibri Light" w:eastAsiaTheme="minorHAnsi"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2A2732F"/>
    <w:multiLevelType w:val="hybridMultilevel"/>
    <w:tmpl w:val="905A6D7A"/>
    <w:lvl w:ilvl="0" w:tplc="26340A8A">
      <w:numFmt w:val="bullet"/>
      <w:lvlText w:val="•"/>
      <w:lvlJc w:val="left"/>
      <w:pPr>
        <w:ind w:left="720" w:hanging="360"/>
      </w:pPr>
      <w:rPr>
        <w:rFonts w:ascii="Calibri Light" w:eastAsiaTheme="minorHAnsi"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DC82BB6"/>
    <w:multiLevelType w:val="hybridMultilevel"/>
    <w:tmpl w:val="2F4E260A"/>
    <w:lvl w:ilvl="0" w:tplc="6B8C749C">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16E254D"/>
    <w:multiLevelType w:val="hybridMultilevel"/>
    <w:tmpl w:val="50868996"/>
    <w:lvl w:ilvl="0" w:tplc="88B058D6">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3" w15:restartNumberingAfterBreak="0">
    <w:nsid w:val="51F86814"/>
    <w:multiLevelType w:val="hybridMultilevel"/>
    <w:tmpl w:val="2B5603EC"/>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4092427"/>
    <w:multiLevelType w:val="hybridMultilevel"/>
    <w:tmpl w:val="40383862"/>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5FAA3F4D"/>
    <w:multiLevelType w:val="hybridMultilevel"/>
    <w:tmpl w:val="82265A2A"/>
    <w:lvl w:ilvl="0" w:tplc="AA621092">
      <w:numFmt w:val="bullet"/>
      <w:lvlText w:val="•"/>
      <w:lvlJc w:val="left"/>
      <w:pPr>
        <w:ind w:left="720" w:hanging="360"/>
      </w:pPr>
      <w:rPr>
        <w:rFonts w:ascii="Calibri Light" w:eastAsiaTheme="minorHAnsi" w:hAnsi="Calibri 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5F36C3"/>
    <w:multiLevelType w:val="hybridMultilevel"/>
    <w:tmpl w:val="2688A0C0"/>
    <w:lvl w:ilvl="0" w:tplc="AA621092">
      <w:numFmt w:val="bullet"/>
      <w:lvlText w:val="•"/>
      <w:lvlJc w:val="left"/>
      <w:pPr>
        <w:ind w:left="720" w:hanging="360"/>
      </w:pPr>
      <w:rPr>
        <w:rFonts w:ascii="Calibri Light" w:eastAsiaTheme="minorHAnsi" w:hAnsi="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6156AA"/>
    <w:multiLevelType w:val="hybridMultilevel"/>
    <w:tmpl w:val="252C7A8A"/>
    <w:lvl w:ilvl="0" w:tplc="6B8C749C">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A7C59F0"/>
    <w:multiLevelType w:val="hybridMultilevel"/>
    <w:tmpl w:val="2FA414D2"/>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B3B0ADC"/>
    <w:multiLevelType w:val="hybridMultilevel"/>
    <w:tmpl w:val="9368A6D0"/>
    <w:lvl w:ilvl="0" w:tplc="88B058D6">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FC1129E"/>
    <w:multiLevelType w:val="hybridMultilevel"/>
    <w:tmpl w:val="DE46D540"/>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8E424EA"/>
    <w:multiLevelType w:val="hybridMultilevel"/>
    <w:tmpl w:val="21A038D0"/>
    <w:lvl w:ilvl="0" w:tplc="AA621092">
      <w:numFmt w:val="bullet"/>
      <w:lvlText w:val="•"/>
      <w:lvlJc w:val="left"/>
      <w:pPr>
        <w:ind w:left="720" w:hanging="360"/>
      </w:pPr>
      <w:rPr>
        <w:rFonts w:ascii="Calibri Light" w:eastAsiaTheme="minorHAnsi" w:hAnsi="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FD02A33"/>
    <w:multiLevelType w:val="hybridMultilevel"/>
    <w:tmpl w:val="3F422F4A"/>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4"/>
  </w:num>
  <w:num w:numId="2">
    <w:abstractNumId w:val="17"/>
  </w:num>
  <w:num w:numId="3">
    <w:abstractNumId w:val="0"/>
  </w:num>
  <w:num w:numId="4">
    <w:abstractNumId w:val="15"/>
  </w:num>
  <w:num w:numId="5">
    <w:abstractNumId w:val="16"/>
  </w:num>
  <w:num w:numId="6">
    <w:abstractNumId w:val="4"/>
  </w:num>
  <w:num w:numId="7">
    <w:abstractNumId w:val="12"/>
  </w:num>
  <w:num w:numId="8">
    <w:abstractNumId w:val="20"/>
  </w:num>
  <w:num w:numId="9">
    <w:abstractNumId w:val="18"/>
  </w:num>
  <w:num w:numId="10">
    <w:abstractNumId w:val="3"/>
  </w:num>
  <w:num w:numId="11">
    <w:abstractNumId w:val="9"/>
  </w:num>
  <w:num w:numId="12">
    <w:abstractNumId w:val="30"/>
  </w:num>
  <w:num w:numId="13">
    <w:abstractNumId w:val="23"/>
  </w:num>
  <w:num w:numId="14">
    <w:abstractNumId w:val="6"/>
  </w:num>
  <w:num w:numId="15">
    <w:abstractNumId w:val="19"/>
  </w:num>
  <w:num w:numId="16">
    <w:abstractNumId w:val="21"/>
  </w:num>
  <w:num w:numId="17">
    <w:abstractNumId w:val="32"/>
  </w:num>
  <w:num w:numId="18">
    <w:abstractNumId w:val="28"/>
  </w:num>
  <w:num w:numId="19">
    <w:abstractNumId w:val="27"/>
  </w:num>
  <w:num w:numId="20">
    <w:abstractNumId w:val="22"/>
  </w:num>
  <w:num w:numId="21">
    <w:abstractNumId w:val="29"/>
  </w:num>
  <w:num w:numId="22">
    <w:abstractNumId w:val="5"/>
  </w:num>
  <w:num w:numId="23">
    <w:abstractNumId w:val="2"/>
  </w:num>
  <w:num w:numId="24">
    <w:abstractNumId w:val="31"/>
  </w:num>
  <w:num w:numId="25">
    <w:abstractNumId w:val="25"/>
  </w:num>
  <w:num w:numId="26">
    <w:abstractNumId w:val="11"/>
  </w:num>
  <w:num w:numId="27">
    <w:abstractNumId w:val="8"/>
  </w:num>
  <w:num w:numId="28">
    <w:abstractNumId w:val="26"/>
  </w:num>
  <w:num w:numId="29">
    <w:abstractNumId w:val="1"/>
  </w:num>
  <w:num w:numId="30">
    <w:abstractNumId w:val="10"/>
  </w:num>
  <w:num w:numId="31">
    <w:abstractNumId w:val="13"/>
  </w:num>
  <w:num w:numId="32">
    <w:abstractNumId w:val="14"/>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6B"/>
    <w:rsid w:val="00017AFD"/>
    <w:rsid w:val="000362F7"/>
    <w:rsid w:val="000612A4"/>
    <w:rsid w:val="00067083"/>
    <w:rsid w:val="00076FCE"/>
    <w:rsid w:val="000838F1"/>
    <w:rsid w:val="00085264"/>
    <w:rsid w:val="000A6B77"/>
    <w:rsid w:val="000D6F50"/>
    <w:rsid w:val="000D7110"/>
    <w:rsid w:val="000F5F28"/>
    <w:rsid w:val="000F7E38"/>
    <w:rsid w:val="001340F4"/>
    <w:rsid w:val="001A0263"/>
    <w:rsid w:val="001B4982"/>
    <w:rsid w:val="001C3D32"/>
    <w:rsid w:val="001D3EAE"/>
    <w:rsid w:val="001F4AB3"/>
    <w:rsid w:val="001F654E"/>
    <w:rsid w:val="0020056F"/>
    <w:rsid w:val="00262AEE"/>
    <w:rsid w:val="0029236D"/>
    <w:rsid w:val="002962FA"/>
    <w:rsid w:val="002A7742"/>
    <w:rsid w:val="002F60D5"/>
    <w:rsid w:val="0030165E"/>
    <w:rsid w:val="003122AC"/>
    <w:rsid w:val="00313470"/>
    <w:rsid w:val="003332CE"/>
    <w:rsid w:val="00342F6A"/>
    <w:rsid w:val="00357C5A"/>
    <w:rsid w:val="003637D3"/>
    <w:rsid w:val="00374AD2"/>
    <w:rsid w:val="00387E13"/>
    <w:rsid w:val="00391F03"/>
    <w:rsid w:val="003B2785"/>
    <w:rsid w:val="003D31D0"/>
    <w:rsid w:val="003E21C8"/>
    <w:rsid w:val="003E2D52"/>
    <w:rsid w:val="003E46C5"/>
    <w:rsid w:val="003E660E"/>
    <w:rsid w:val="00422EE7"/>
    <w:rsid w:val="00431D38"/>
    <w:rsid w:val="00433ED1"/>
    <w:rsid w:val="00446AA3"/>
    <w:rsid w:val="00457C30"/>
    <w:rsid w:val="00471618"/>
    <w:rsid w:val="0047297E"/>
    <w:rsid w:val="00480E24"/>
    <w:rsid w:val="004A0A38"/>
    <w:rsid w:val="004D380F"/>
    <w:rsid w:val="004E652D"/>
    <w:rsid w:val="005209AE"/>
    <w:rsid w:val="005414C1"/>
    <w:rsid w:val="00547037"/>
    <w:rsid w:val="00551EB8"/>
    <w:rsid w:val="005526DC"/>
    <w:rsid w:val="00560B5E"/>
    <w:rsid w:val="00567488"/>
    <w:rsid w:val="00567A26"/>
    <w:rsid w:val="005852B6"/>
    <w:rsid w:val="005A2551"/>
    <w:rsid w:val="005A61EC"/>
    <w:rsid w:val="005B4A40"/>
    <w:rsid w:val="005C0539"/>
    <w:rsid w:val="005C0F35"/>
    <w:rsid w:val="005E02CF"/>
    <w:rsid w:val="00617391"/>
    <w:rsid w:val="006204E7"/>
    <w:rsid w:val="0062064E"/>
    <w:rsid w:val="006226CE"/>
    <w:rsid w:val="00630C24"/>
    <w:rsid w:val="0065523C"/>
    <w:rsid w:val="00681190"/>
    <w:rsid w:val="00681CB3"/>
    <w:rsid w:val="006912B5"/>
    <w:rsid w:val="006B0797"/>
    <w:rsid w:val="006B7BFB"/>
    <w:rsid w:val="006D1318"/>
    <w:rsid w:val="006D31DC"/>
    <w:rsid w:val="00722151"/>
    <w:rsid w:val="007467A0"/>
    <w:rsid w:val="00796C59"/>
    <w:rsid w:val="007B386C"/>
    <w:rsid w:val="007B3C2B"/>
    <w:rsid w:val="007B5002"/>
    <w:rsid w:val="007C2535"/>
    <w:rsid w:val="007C60D4"/>
    <w:rsid w:val="00800475"/>
    <w:rsid w:val="008021B0"/>
    <w:rsid w:val="008339A4"/>
    <w:rsid w:val="00841BB5"/>
    <w:rsid w:val="008505E2"/>
    <w:rsid w:val="00863353"/>
    <w:rsid w:val="00893B1E"/>
    <w:rsid w:val="008B33E7"/>
    <w:rsid w:val="008C0484"/>
    <w:rsid w:val="008F3F6B"/>
    <w:rsid w:val="00923F18"/>
    <w:rsid w:val="00936004"/>
    <w:rsid w:val="00946BC3"/>
    <w:rsid w:val="00952DEA"/>
    <w:rsid w:val="00970923"/>
    <w:rsid w:val="00975629"/>
    <w:rsid w:val="00983266"/>
    <w:rsid w:val="009C7F48"/>
    <w:rsid w:val="009D4683"/>
    <w:rsid w:val="009E55CB"/>
    <w:rsid w:val="009E5724"/>
    <w:rsid w:val="009F45C4"/>
    <w:rsid w:val="00A0052F"/>
    <w:rsid w:val="00A31CF0"/>
    <w:rsid w:val="00A46EF4"/>
    <w:rsid w:val="00A60541"/>
    <w:rsid w:val="00A7738F"/>
    <w:rsid w:val="00A92B2D"/>
    <w:rsid w:val="00A9415B"/>
    <w:rsid w:val="00AB380E"/>
    <w:rsid w:val="00AB65AA"/>
    <w:rsid w:val="00AB733E"/>
    <w:rsid w:val="00AC3903"/>
    <w:rsid w:val="00AD26E1"/>
    <w:rsid w:val="00AD47EE"/>
    <w:rsid w:val="00B04713"/>
    <w:rsid w:val="00B07C04"/>
    <w:rsid w:val="00B1595B"/>
    <w:rsid w:val="00B303A0"/>
    <w:rsid w:val="00B4230B"/>
    <w:rsid w:val="00B4415E"/>
    <w:rsid w:val="00B625F8"/>
    <w:rsid w:val="00B63EBD"/>
    <w:rsid w:val="00B67FCF"/>
    <w:rsid w:val="00B90067"/>
    <w:rsid w:val="00B913B7"/>
    <w:rsid w:val="00BC3964"/>
    <w:rsid w:val="00BD38C6"/>
    <w:rsid w:val="00BD6F31"/>
    <w:rsid w:val="00BF7071"/>
    <w:rsid w:val="00C134AF"/>
    <w:rsid w:val="00C203DF"/>
    <w:rsid w:val="00C21EDB"/>
    <w:rsid w:val="00C60F5A"/>
    <w:rsid w:val="00C70BBC"/>
    <w:rsid w:val="00C964E0"/>
    <w:rsid w:val="00CC4410"/>
    <w:rsid w:val="00CD6962"/>
    <w:rsid w:val="00CE7749"/>
    <w:rsid w:val="00CF6A54"/>
    <w:rsid w:val="00D2565A"/>
    <w:rsid w:val="00D270F9"/>
    <w:rsid w:val="00D54077"/>
    <w:rsid w:val="00D57E73"/>
    <w:rsid w:val="00D7471B"/>
    <w:rsid w:val="00D76EA3"/>
    <w:rsid w:val="00DA2974"/>
    <w:rsid w:val="00DB0DB5"/>
    <w:rsid w:val="00DC460D"/>
    <w:rsid w:val="00DC759D"/>
    <w:rsid w:val="00E04C0C"/>
    <w:rsid w:val="00E20629"/>
    <w:rsid w:val="00E33F64"/>
    <w:rsid w:val="00E5023F"/>
    <w:rsid w:val="00E76886"/>
    <w:rsid w:val="00E95D43"/>
    <w:rsid w:val="00EB1F08"/>
    <w:rsid w:val="00EE2623"/>
    <w:rsid w:val="00F23860"/>
    <w:rsid w:val="00F61097"/>
    <w:rsid w:val="00F86065"/>
    <w:rsid w:val="00F927EB"/>
    <w:rsid w:val="00FB33A9"/>
    <w:rsid w:val="00FB736C"/>
    <w:rsid w:val="00FD0FBC"/>
    <w:rsid w:val="00FD2AB0"/>
    <w:rsid w:val="00FE0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1F93"/>
  <w15:chartTrackingRefBased/>
  <w15:docId w15:val="{A22E8E2A-662D-4DA3-8E43-928BF03A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F3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A2974"/>
    <w:rPr>
      <w:color w:val="0563C1" w:themeColor="hyperlink"/>
      <w:u w:val="single"/>
    </w:rPr>
  </w:style>
  <w:style w:type="character" w:styleId="Mentionnonrsolue">
    <w:name w:val="Unresolved Mention"/>
    <w:basedOn w:val="Policepardfaut"/>
    <w:uiPriority w:val="99"/>
    <w:semiHidden/>
    <w:unhideWhenUsed/>
    <w:rsid w:val="00DA2974"/>
    <w:rPr>
      <w:color w:val="605E5C"/>
      <w:shd w:val="clear" w:color="auto" w:fill="E1DFDD"/>
    </w:rPr>
  </w:style>
  <w:style w:type="character" w:styleId="Lienhypertextesuivivisit">
    <w:name w:val="FollowedHyperlink"/>
    <w:basedOn w:val="Policepardfaut"/>
    <w:uiPriority w:val="99"/>
    <w:semiHidden/>
    <w:unhideWhenUsed/>
    <w:rsid w:val="009D4683"/>
    <w:rPr>
      <w:color w:val="954F72" w:themeColor="followedHyperlink"/>
      <w:u w:val="single"/>
    </w:rPr>
  </w:style>
  <w:style w:type="paragraph" w:styleId="Paragraphedeliste">
    <w:name w:val="List Paragraph"/>
    <w:basedOn w:val="Normal"/>
    <w:uiPriority w:val="34"/>
    <w:qFormat/>
    <w:rsid w:val="005414C1"/>
    <w:pPr>
      <w:ind w:left="720"/>
      <w:contextualSpacing/>
    </w:pPr>
  </w:style>
  <w:style w:type="paragraph" w:styleId="En-tte">
    <w:name w:val="header"/>
    <w:basedOn w:val="Normal"/>
    <w:link w:val="En-tteCar"/>
    <w:uiPriority w:val="99"/>
    <w:unhideWhenUsed/>
    <w:rsid w:val="005414C1"/>
    <w:pPr>
      <w:tabs>
        <w:tab w:val="center" w:pos="4513"/>
        <w:tab w:val="right" w:pos="9026"/>
      </w:tabs>
      <w:spacing w:after="0" w:line="240" w:lineRule="auto"/>
    </w:pPr>
  </w:style>
  <w:style w:type="character" w:customStyle="1" w:styleId="En-tteCar">
    <w:name w:val="En-tête Car"/>
    <w:basedOn w:val="Policepardfaut"/>
    <w:link w:val="En-tte"/>
    <w:uiPriority w:val="99"/>
    <w:rsid w:val="005414C1"/>
  </w:style>
  <w:style w:type="paragraph" w:styleId="Pieddepage">
    <w:name w:val="footer"/>
    <w:basedOn w:val="Normal"/>
    <w:link w:val="PieddepageCar"/>
    <w:uiPriority w:val="99"/>
    <w:unhideWhenUsed/>
    <w:rsid w:val="005414C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414C1"/>
  </w:style>
  <w:style w:type="character" w:styleId="Numrodepage">
    <w:name w:val="page number"/>
    <w:basedOn w:val="Policepardfaut"/>
    <w:uiPriority w:val="99"/>
    <w:semiHidden/>
    <w:unhideWhenUsed/>
    <w:rsid w:val="008339A4"/>
  </w:style>
  <w:style w:type="paragraph" w:styleId="Textedebulles">
    <w:name w:val="Balloon Text"/>
    <w:basedOn w:val="Normal"/>
    <w:link w:val="TextedebullesCar"/>
    <w:uiPriority w:val="99"/>
    <w:semiHidden/>
    <w:unhideWhenUsed/>
    <w:rsid w:val="009E55CB"/>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E55CB"/>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CC4410"/>
    <w:rPr>
      <w:sz w:val="16"/>
      <w:szCs w:val="16"/>
    </w:rPr>
  </w:style>
  <w:style w:type="paragraph" w:styleId="Commentaire">
    <w:name w:val="annotation text"/>
    <w:basedOn w:val="Normal"/>
    <w:link w:val="CommentaireCar"/>
    <w:uiPriority w:val="99"/>
    <w:semiHidden/>
    <w:unhideWhenUsed/>
    <w:rsid w:val="00CC4410"/>
    <w:pPr>
      <w:spacing w:line="240" w:lineRule="auto"/>
    </w:pPr>
    <w:rPr>
      <w:sz w:val="20"/>
      <w:szCs w:val="20"/>
    </w:rPr>
  </w:style>
  <w:style w:type="character" w:customStyle="1" w:styleId="CommentaireCar">
    <w:name w:val="Commentaire Car"/>
    <w:basedOn w:val="Policepardfaut"/>
    <w:link w:val="Commentaire"/>
    <w:uiPriority w:val="99"/>
    <w:semiHidden/>
    <w:rsid w:val="00CC4410"/>
    <w:rPr>
      <w:sz w:val="20"/>
      <w:szCs w:val="20"/>
    </w:rPr>
  </w:style>
  <w:style w:type="paragraph" w:styleId="Objetducommentaire">
    <w:name w:val="annotation subject"/>
    <w:basedOn w:val="Commentaire"/>
    <w:next w:val="Commentaire"/>
    <w:link w:val="ObjetducommentaireCar"/>
    <w:uiPriority w:val="99"/>
    <w:semiHidden/>
    <w:unhideWhenUsed/>
    <w:rsid w:val="00CC4410"/>
    <w:rPr>
      <w:b/>
      <w:bCs/>
    </w:rPr>
  </w:style>
  <w:style w:type="character" w:customStyle="1" w:styleId="ObjetducommentaireCar">
    <w:name w:val="Objet du commentaire Car"/>
    <w:basedOn w:val="CommentaireCar"/>
    <w:link w:val="Objetducommentaire"/>
    <w:uiPriority w:val="99"/>
    <w:semiHidden/>
    <w:rsid w:val="00CC4410"/>
    <w:rPr>
      <w:b/>
      <w:bCs/>
      <w:sz w:val="20"/>
      <w:szCs w:val="20"/>
    </w:rPr>
  </w:style>
  <w:style w:type="paragraph" w:styleId="NormalWeb">
    <w:name w:val="Normal (Web)"/>
    <w:basedOn w:val="Normal"/>
    <w:uiPriority w:val="99"/>
    <w:semiHidden/>
    <w:unhideWhenUsed/>
    <w:rsid w:val="009F45C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386232">
      <w:bodyDiv w:val="1"/>
      <w:marLeft w:val="0"/>
      <w:marRight w:val="0"/>
      <w:marTop w:val="0"/>
      <w:marBottom w:val="0"/>
      <w:divBdr>
        <w:top w:val="none" w:sz="0" w:space="0" w:color="auto"/>
        <w:left w:val="none" w:sz="0" w:space="0" w:color="auto"/>
        <w:bottom w:val="none" w:sz="0" w:space="0" w:color="auto"/>
        <w:right w:val="none" w:sz="0" w:space="0" w:color="auto"/>
      </w:divBdr>
    </w:div>
    <w:div w:id="330180982">
      <w:bodyDiv w:val="1"/>
      <w:marLeft w:val="0"/>
      <w:marRight w:val="0"/>
      <w:marTop w:val="0"/>
      <w:marBottom w:val="0"/>
      <w:divBdr>
        <w:top w:val="none" w:sz="0" w:space="0" w:color="auto"/>
        <w:left w:val="none" w:sz="0" w:space="0" w:color="auto"/>
        <w:bottom w:val="none" w:sz="0" w:space="0" w:color="auto"/>
        <w:right w:val="none" w:sz="0" w:space="0" w:color="auto"/>
      </w:divBdr>
    </w:div>
    <w:div w:id="387151056">
      <w:bodyDiv w:val="1"/>
      <w:marLeft w:val="0"/>
      <w:marRight w:val="0"/>
      <w:marTop w:val="0"/>
      <w:marBottom w:val="0"/>
      <w:divBdr>
        <w:top w:val="none" w:sz="0" w:space="0" w:color="auto"/>
        <w:left w:val="none" w:sz="0" w:space="0" w:color="auto"/>
        <w:bottom w:val="none" w:sz="0" w:space="0" w:color="auto"/>
        <w:right w:val="none" w:sz="0" w:space="0" w:color="auto"/>
      </w:divBdr>
    </w:div>
    <w:div w:id="438111286">
      <w:bodyDiv w:val="1"/>
      <w:marLeft w:val="0"/>
      <w:marRight w:val="0"/>
      <w:marTop w:val="0"/>
      <w:marBottom w:val="0"/>
      <w:divBdr>
        <w:top w:val="none" w:sz="0" w:space="0" w:color="auto"/>
        <w:left w:val="none" w:sz="0" w:space="0" w:color="auto"/>
        <w:bottom w:val="none" w:sz="0" w:space="0" w:color="auto"/>
        <w:right w:val="none" w:sz="0" w:space="0" w:color="auto"/>
      </w:divBdr>
    </w:div>
    <w:div w:id="515313345">
      <w:bodyDiv w:val="1"/>
      <w:marLeft w:val="0"/>
      <w:marRight w:val="0"/>
      <w:marTop w:val="0"/>
      <w:marBottom w:val="0"/>
      <w:divBdr>
        <w:top w:val="none" w:sz="0" w:space="0" w:color="auto"/>
        <w:left w:val="none" w:sz="0" w:space="0" w:color="auto"/>
        <w:bottom w:val="none" w:sz="0" w:space="0" w:color="auto"/>
        <w:right w:val="none" w:sz="0" w:space="0" w:color="auto"/>
      </w:divBdr>
    </w:div>
    <w:div w:id="520823520">
      <w:bodyDiv w:val="1"/>
      <w:marLeft w:val="0"/>
      <w:marRight w:val="0"/>
      <w:marTop w:val="0"/>
      <w:marBottom w:val="0"/>
      <w:divBdr>
        <w:top w:val="none" w:sz="0" w:space="0" w:color="auto"/>
        <w:left w:val="none" w:sz="0" w:space="0" w:color="auto"/>
        <w:bottom w:val="none" w:sz="0" w:space="0" w:color="auto"/>
        <w:right w:val="none" w:sz="0" w:space="0" w:color="auto"/>
      </w:divBdr>
      <w:divsChild>
        <w:div w:id="1129937018">
          <w:marLeft w:val="547"/>
          <w:marRight w:val="0"/>
          <w:marTop w:val="0"/>
          <w:marBottom w:val="0"/>
          <w:divBdr>
            <w:top w:val="none" w:sz="0" w:space="0" w:color="auto"/>
            <w:left w:val="none" w:sz="0" w:space="0" w:color="auto"/>
            <w:bottom w:val="none" w:sz="0" w:space="0" w:color="auto"/>
            <w:right w:val="none" w:sz="0" w:space="0" w:color="auto"/>
          </w:divBdr>
        </w:div>
      </w:divsChild>
    </w:div>
    <w:div w:id="555818498">
      <w:bodyDiv w:val="1"/>
      <w:marLeft w:val="0"/>
      <w:marRight w:val="0"/>
      <w:marTop w:val="0"/>
      <w:marBottom w:val="0"/>
      <w:divBdr>
        <w:top w:val="none" w:sz="0" w:space="0" w:color="auto"/>
        <w:left w:val="none" w:sz="0" w:space="0" w:color="auto"/>
        <w:bottom w:val="none" w:sz="0" w:space="0" w:color="auto"/>
        <w:right w:val="none" w:sz="0" w:space="0" w:color="auto"/>
      </w:divBdr>
    </w:div>
    <w:div w:id="576131010">
      <w:bodyDiv w:val="1"/>
      <w:marLeft w:val="0"/>
      <w:marRight w:val="0"/>
      <w:marTop w:val="0"/>
      <w:marBottom w:val="0"/>
      <w:divBdr>
        <w:top w:val="none" w:sz="0" w:space="0" w:color="auto"/>
        <w:left w:val="none" w:sz="0" w:space="0" w:color="auto"/>
        <w:bottom w:val="none" w:sz="0" w:space="0" w:color="auto"/>
        <w:right w:val="none" w:sz="0" w:space="0" w:color="auto"/>
      </w:divBdr>
    </w:div>
    <w:div w:id="703529460">
      <w:bodyDiv w:val="1"/>
      <w:marLeft w:val="0"/>
      <w:marRight w:val="0"/>
      <w:marTop w:val="0"/>
      <w:marBottom w:val="0"/>
      <w:divBdr>
        <w:top w:val="none" w:sz="0" w:space="0" w:color="auto"/>
        <w:left w:val="none" w:sz="0" w:space="0" w:color="auto"/>
        <w:bottom w:val="none" w:sz="0" w:space="0" w:color="auto"/>
        <w:right w:val="none" w:sz="0" w:space="0" w:color="auto"/>
      </w:divBdr>
    </w:div>
    <w:div w:id="896358917">
      <w:bodyDiv w:val="1"/>
      <w:marLeft w:val="0"/>
      <w:marRight w:val="0"/>
      <w:marTop w:val="0"/>
      <w:marBottom w:val="0"/>
      <w:divBdr>
        <w:top w:val="none" w:sz="0" w:space="0" w:color="auto"/>
        <w:left w:val="none" w:sz="0" w:space="0" w:color="auto"/>
        <w:bottom w:val="none" w:sz="0" w:space="0" w:color="auto"/>
        <w:right w:val="none" w:sz="0" w:space="0" w:color="auto"/>
      </w:divBdr>
    </w:div>
    <w:div w:id="1008681603">
      <w:bodyDiv w:val="1"/>
      <w:marLeft w:val="0"/>
      <w:marRight w:val="0"/>
      <w:marTop w:val="0"/>
      <w:marBottom w:val="0"/>
      <w:divBdr>
        <w:top w:val="none" w:sz="0" w:space="0" w:color="auto"/>
        <w:left w:val="none" w:sz="0" w:space="0" w:color="auto"/>
        <w:bottom w:val="none" w:sz="0" w:space="0" w:color="auto"/>
        <w:right w:val="none" w:sz="0" w:space="0" w:color="auto"/>
      </w:divBdr>
    </w:div>
    <w:div w:id="1088649798">
      <w:bodyDiv w:val="1"/>
      <w:marLeft w:val="0"/>
      <w:marRight w:val="0"/>
      <w:marTop w:val="0"/>
      <w:marBottom w:val="0"/>
      <w:divBdr>
        <w:top w:val="none" w:sz="0" w:space="0" w:color="auto"/>
        <w:left w:val="none" w:sz="0" w:space="0" w:color="auto"/>
        <w:bottom w:val="none" w:sz="0" w:space="0" w:color="auto"/>
        <w:right w:val="none" w:sz="0" w:space="0" w:color="auto"/>
      </w:divBdr>
    </w:div>
    <w:div w:id="1639917126">
      <w:bodyDiv w:val="1"/>
      <w:marLeft w:val="0"/>
      <w:marRight w:val="0"/>
      <w:marTop w:val="0"/>
      <w:marBottom w:val="0"/>
      <w:divBdr>
        <w:top w:val="none" w:sz="0" w:space="0" w:color="auto"/>
        <w:left w:val="none" w:sz="0" w:space="0" w:color="auto"/>
        <w:bottom w:val="none" w:sz="0" w:space="0" w:color="auto"/>
        <w:right w:val="none" w:sz="0" w:space="0" w:color="auto"/>
      </w:divBdr>
      <w:divsChild>
        <w:div w:id="606350900">
          <w:marLeft w:val="0"/>
          <w:marRight w:val="0"/>
          <w:marTop w:val="0"/>
          <w:marBottom w:val="0"/>
          <w:divBdr>
            <w:top w:val="none" w:sz="0" w:space="0" w:color="auto"/>
            <w:left w:val="none" w:sz="0" w:space="0" w:color="auto"/>
            <w:bottom w:val="none" w:sz="0" w:space="0" w:color="auto"/>
            <w:right w:val="none" w:sz="0" w:space="0" w:color="auto"/>
          </w:divBdr>
        </w:div>
        <w:div w:id="429082813">
          <w:marLeft w:val="0"/>
          <w:marRight w:val="0"/>
          <w:marTop w:val="0"/>
          <w:marBottom w:val="0"/>
          <w:divBdr>
            <w:top w:val="none" w:sz="0" w:space="0" w:color="auto"/>
            <w:left w:val="none" w:sz="0" w:space="0" w:color="auto"/>
            <w:bottom w:val="none" w:sz="0" w:space="0" w:color="auto"/>
            <w:right w:val="none" w:sz="0" w:space="0" w:color="auto"/>
          </w:divBdr>
        </w:div>
        <w:div w:id="469396593">
          <w:marLeft w:val="0"/>
          <w:marRight w:val="0"/>
          <w:marTop w:val="0"/>
          <w:marBottom w:val="0"/>
          <w:divBdr>
            <w:top w:val="none" w:sz="0" w:space="0" w:color="auto"/>
            <w:left w:val="none" w:sz="0" w:space="0" w:color="auto"/>
            <w:bottom w:val="none" w:sz="0" w:space="0" w:color="auto"/>
            <w:right w:val="none" w:sz="0" w:space="0" w:color="auto"/>
          </w:divBdr>
        </w:div>
      </w:divsChild>
    </w:div>
    <w:div w:id="1852721805">
      <w:bodyDiv w:val="1"/>
      <w:marLeft w:val="0"/>
      <w:marRight w:val="0"/>
      <w:marTop w:val="0"/>
      <w:marBottom w:val="0"/>
      <w:divBdr>
        <w:top w:val="none" w:sz="0" w:space="0" w:color="auto"/>
        <w:left w:val="none" w:sz="0" w:space="0" w:color="auto"/>
        <w:bottom w:val="none" w:sz="0" w:space="0" w:color="auto"/>
        <w:right w:val="none" w:sz="0" w:space="0" w:color="auto"/>
      </w:divBdr>
    </w:div>
    <w:div w:id="1972248028">
      <w:bodyDiv w:val="1"/>
      <w:marLeft w:val="0"/>
      <w:marRight w:val="0"/>
      <w:marTop w:val="0"/>
      <w:marBottom w:val="0"/>
      <w:divBdr>
        <w:top w:val="none" w:sz="0" w:space="0" w:color="auto"/>
        <w:left w:val="none" w:sz="0" w:space="0" w:color="auto"/>
        <w:bottom w:val="none" w:sz="0" w:space="0" w:color="auto"/>
        <w:right w:val="none" w:sz="0" w:space="0" w:color="auto"/>
      </w:divBdr>
    </w:div>
    <w:div w:id="205989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as-sante.fr/upload/docs/application/pdf/2011-01/ald_23_gp_troublebipolaire_web.pdf" TargetMode="External"/><Relationship Id="rId18" Type="http://schemas.openxmlformats.org/officeDocument/2006/relationships/hyperlink" Target="https://www.bap.org.uk/pdfs/BAP_Guidelines-Bipolar.pdf" TargetMode="External"/><Relationship Id="rId26" Type="http://schemas.openxmlformats.org/officeDocument/2006/relationships/hyperlink" Target="https://www.rpharms.com/Portals/0/RPS%20document%20library/Open%20access/Coronavirus/CMHP%20Monitoring%20Lithium%20during%20Covid-19%20Pandemic-RPSendorsed.pdf?ver=2020-03-31-103408-973" TargetMode="External"/><Relationship Id="rId39" Type="http://schemas.openxmlformats.org/officeDocument/2006/relationships/hyperlink" Target="http://oxfordhealthbrc.nihr.ac.uk/wp-content/uploads/2020/04/Oxford-Lithium-COVID-Guidance.pdf" TargetMode="External"/><Relationship Id="rId21" Type="http://schemas.openxmlformats.org/officeDocument/2006/relationships/hyperlink" Target="http://oxfordhealthbrc.nihr.ac.uk/wp-content/uploads/2020/04/Covid-19-and-Lithium-policy-final.pdf" TargetMode="External"/><Relationship Id="rId34" Type="http://schemas.openxmlformats.org/officeDocument/2006/relationships/hyperlink" Target="https://www.rpharms.com/Portals/0/RPS%20document%20library/Open%20access/Coronavirus/CMHP%20Monitoring%20Lithium%20during%20Covid-19%20Pandemic-RPSendorsed.pdf?ver=2020-03-31-103408-973" TargetMode="External"/><Relationship Id="rId42" Type="http://schemas.openxmlformats.org/officeDocument/2006/relationships/hyperlink" Target="https://www.rpharms.com/Portals/0/RPS%20document%20library/Open%20access/Coronavirus/CMHP%20Monitoring%20Lithium%20during%20Covid-19%20Pandemic-RPSendorsed.pdf?ver=2020-03-31-103408-973" TargetMode="External"/><Relationship Id="rId47" Type="http://schemas.openxmlformats.org/officeDocument/2006/relationships/hyperlink" Target="https://www.kidney-international.org/article/S0085-2538(20)30255-6/pdf" TargetMode="External"/><Relationship Id="rId50" Type="http://schemas.openxmlformats.org/officeDocument/2006/relationships/hyperlink" Target="http://oxfordhealthbrc.nihr.ac.uk/wp-content/uploads/2020/04/Oxford-Lithium-COVID-Guidance.pdf" TargetMode="External"/><Relationship Id="rId55" Type="http://schemas.openxmlformats.org/officeDocument/2006/relationships/hyperlink" Target="https://www.has-sante.fr/upload/docs/evamed/CT-14569_TERALITHE_PIS_RI_Avis1_CT14569.pdf" TargetMode="External"/><Relationship Id="rId7" Type="http://schemas.openxmlformats.org/officeDocument/2006/relationships/image" Target="media/image1.png"/><Relationship Id="rId12" Type="http://schemas.openxmlformats.org/officeDocument/2006/relationships/hyperlink" Target="https://www.has-sante.fr/jcms/c_2579748/fr/femmes-en-age-de-procreer-ayant-un-trouble-bipolaire-specialites-a-base-de-valproate-et-alternatives-medicamenteuses" TargetMode="External"/><Relationship Id="rId17" Type="http://schemas.openxmlformats.org/officeDocument/2006/relationships/hyperlink" Target="https://www.nice.org.uk/guidance/cg185" TargetMode="External"/><Relationship Id="rId25" Type="http://schemas.openxmlformats.org/officeDocument/2006/relationships/hyperlink" Target="https://www.rcn.org.uk/clinical-topics/mental-health/covid-19-guidance" TargetMode="External"/><Relationship Id="rId33" Type="http://schemas.openxmlformats.org/officeDocument/2006/relationships/hyperlink" Target="https://www.rcpsych.ac.uk/about-us/responding-to-covid-19/responding-to-covid-19-guidance-for-clinicians/community-and-inpatient-services/providing-medication" TargetMode="External"/><Relationship Id="rId38" Type="http://schemas.openxmlformats.org/officeDocument/2006/relationships/hyperlink" Target="https://www.rcpsych.ac.uk/about-us/responding-to-covid-19/responding-to-covid-19-guidance-for-clinicians/community-and-inpatient-services/providing-medication" TargetMode="External"/><Relationship Id="rId46" Type="http://schemas.openxmlformats.org/officeDocument/2006/relationships/hyperlink" Target="http://www.oxfordhealthformulary.nhs.uk/docs/Lithium%20monitoring%20-%20information%20for%20health%20care%20professionals%20-%20COVID%2019%20memov2.pdf?UNLID=43283507020206139558"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oxfordhealthbrc.nihr.ac.uk/wp-content/uploads/2020/04/Zhou-2015.pdf" TargetMode="External"/><Relationship Id="rId20" Type="http://schemas.openxmlformats.org/officeDocument/2006/relationships/hyperlink" Target="https://www.rpharms.com/Portals/0/RPS%20document%20library/Open%20access/Coronavirus/CMHP%20Monitoring%20Lithium%20during%20Covid-19%20Pandemic-RPSendorsed.pdf?ver=2020-03-31-103408-973" TargetMode="External"/><Relationship Id="rId29" Type="http://schemas.openxmlformats.org/officeDocument/2006/relationships/hyperlink" Target="http://www.oxfordhealthformulary.nhs.uk/docs/Lithium%20monitoring%20-%20information%20for%20health%20care%20professionals%20-%20COVID%2019%20memov2.pdf?UNLID=43283507020206139558" TargetMode="External"/><Relationship Id="rId41" Type="http://schemas.openxmlformats.org/officeDocument/2006/relationships/hyperlink" Target="http://www.oxfordhealthformulary.nhs.uk/docs/Lithium%20monitoring%20-%20information%20for%20health%20care%20professionals%20-%20COVID%2019%20memov2.pdf?UNLID=43283507020206139558" TargetMode="External"/><Relationship Id="rId54" Type="http://schemas.openxmlformats.org/officeDocument/2006/relationships/hyperlink" Target="https://bnf.nice.org.uk/medicinal-forms/lithium-carbonat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s-sante.fr/upload/docs/evamed/CT-14569_TERALITHE_PIS_RI_Avis1_CT14569.pdf" TargetMode="External"/><Relationship Id="rId24" Type="http://schemas.openxmlformats.org/officeDocument/2006/relationships/hyperlink" Target="http://www.oxfordhealthformulary.nhs.uk/docs/Lithium%20monitoring%20-%20information%20for%20health%20care%20professionals%20-%20COVID%2019%20memov2.pdf?UNLID=43283507020206139558" TargetMode="External"/><Relationship Id="rId32" Type="http://schemas.openxmlformats.org/officeDocument/2006/relationships/hyperlink" Target="http://www.oxfordhealthformulary.nhs.uk/docs/Lithium%20monitoring%20-%20information%20for%20health%20care%20professionals%20-%20COVID%2019%20memov2.pdf?UNLID=43283507020206139558" TargetMode="External"/><Relationship Id="rId37" Type="http://schemas.openxmlformats.org/officeDocument/2006/relationships/hyperlink" Target="https://www.sps.nhs.uk/articles/lithium-drug-monitoring-in-primary-care-during-covid-19-for-stable-patients/" TargetMode="External"/><Relationship Id="rId40" Type="http://schemas.openxmlformats.org/officeDocument/2006/relationships/hyperlink" Target="https://www.gov.uk/government/news/commission-on-human-medicines-advice-on-ibuprofen-and-coronavirus-covid-19" TargetMode="External"/><Relationship Id="rId45" Type="http://schemas.openxmlformats.org/officeDocument/2006/relationships/hyperlink" Target="http://www.oxfordhealthformulary.nhs.uk/docs/Lithium%20monitoring%20-%20information%20for%20health%20care%20professionals%20-%20COVID%2019%20memov2.pdf?UNLID=43283507020206139558" TargetMode="External"/><Relationship Id="rId53" Type="http://schemas.openxmlformats.org/officeDocument/2006/relationships/hyperlink" Target="https://bnf.nice.org.uk/drug/lithium-citrate.html"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oxfordhealthbrc.nihr.ac.uk/wp-content/uploads/2020/04/Smith-2017.pdf" TargetMode="External"/><Relationship Id="rId23" Type="http://schemas.openxmlformats.org/officeDocument/2006/relationships/hyperlink" Target="https://www.sps.nhs.uk/articles/lithium-drug-monitoring-in-primary-care-during-covid-19-for-stable-patients/" TargetMode="External"/><Relationship Id="rId28" Type="http://schemas.openxmlformats.org/officeDocument/2006/relationships/hyperlink" Target="https://www.nice.org.uk/guidance/cg185" TargetMode="External"/><Relationship Id="rId36" Type="http://schemas.openxmlformats.org/officeDocument/2006/relationships/hyperlink" Target="http://oxfordhealthbrc.nihr.ac.uk/wp-content/uploads/2020/04/Oxford-Lithium-COVID-Guidance.pdf" TargetMode="External"/><Relationship Id="rId49" Type="http://schemas.openxmlformats.org/officeDocument/2006/relationships/hyperlink" Target="http://oxfordhealthbrc.nihr.ac.uk/wp-content/uploads/2020/04/Covid-19-and-Lithium-policy-final.pdf" TargetMode="External"/><Relationship Id="rId57" Type="http://schemas.openxmlformats.org/officeDocument/2006/relationships/footer" Target="footer2.xml"/><Relationship Id="rId10" Type="http://schemas.openxmlformats.org/officeDocument/2006/relationships/hyperlink" Target="https://www.rcpsych.ac.uk/about-us/responding-to-covid-19/responding-to-covid-19-guidance-for-clinicians/community-and-inpatient-services/providing-medication" TargetMode="External"/><Relationship Id="rId19" Type="http://schemas.openxmlformats.org/officeDocument/2006/relationships/hyperlink" Target="https://www.bap.org.uk/pdfs/BAP_Guidelines-Antidepressants.pdf" TargetMode="External"/><Relationship Id="rId31" Type="http://schemas.openxmlformats.org/officeDocument/2006/relationships/hyperlink" Target="http://oxfordhealthbrc.nihr.ac.uk/wp-content/uploads/2020/04/Oxford-Lithium-COVID-Guidance.pdf" TargetMode="External"/><Relationship Id="rId44" Type="http://schemas.openxmlformats.org/officeDocument/2006/relationships/hyperlink" Target="http://oxfordhealthbrc.nihr.ac.uk/wp-content/uploads/2020/04/Oxford-Lithium-COVID-Guidance.pdf" TargetMode="External"/><Relationship Id="rId52" Type="http://schemas.openxmlformats.org/officeDocument/2006/relationships/hyperlink" Target="https://www.has-sante.fr/upload/docs/evamed/CT-14569_TERALITHE_PIS_RI_Avis1_CT14569.pdf" TargetMode="External"/><Relationship Id="rId4" Type="http://schemas.openxmlformats.org/officeDocument/2006/relationships/webSettings" Target="webSettings.xml"/><Relationship Id="rId9" Type="http://schemas.openxmlformats.org/officeDocument/2006/relationships/hyperlink" Target="https://oxfordhealthbrc.nihr.ac.uk/our-work/oxppl/covid-19-and-mental-health-guidance/" TargetMode="External"/><Relationship Id="rId14" Type="http://schemas.openxmlformats.org/officeDocument/2006/relationships/hyperlink" Target="https://www.bmj.com/content/346/bmj.f3646.long" TargetMode="External"/><Relationship Id="rId22" Type="http://schemas.openxmlformats.org/officeDocument/2006/relationships/hyperlink" Target="http://oxfordhealthbrc.nihr.ac.uk/wp-content/uploads/2020/04/Oxford-Lithium-COVID-Guidance.pdf" TargetMode="External"/><Relationship Id="rId27" Type="http://schemas.openxmlformats.org/officeDocument/2006/relationships/hyperlink" Target="http://oxfordhealthbrc.nihr.ac.uk/wp-content/uploads/2020/04/Oxford-Lithium-COVID-Guidance.pdf" TargetMode="External"/><Relationship Id="rId30" Type="http://schemas.openxmlformats.org/officeDocument/2006/relationships/hyperlink" Target="https://www.rpharms.com/Portals/0/RPS%20document%20library/Open%20access/Coronavirus/CMHP%20Monitoring%20Lithium%20during%20Covid-19%20Pandemic-RPSendorsed.pdf?ver=2020-03-31-103408-973" TargetMode="External"/><Relationship Id="rId35" Type="http://schemas.openxmlformats.org/officeDocument/2006/relationships/hyperlink" Target="http://oxfordhealthbrc.nihr.ac.uk/wp-content/uploads/2020/04/Covid-19-and-Lithium-policy-final.pdf" TargetMode="External"/><Relationship Id="rId43" Type="http://schemas.openxmlformats.org/officeDocument/2006/relationships/hyperlink" Target="http://oxfordhealthbrc.nihr.ac.uk/wp-content/uploads/2020/04/Covid-19-and-Lithium-policy-final.pdf" TargetMode="External"/><Relationship Id="rId48" Type="http://schemas.openxmlformats.org/officeDocument/2006/relationships/hyperlink" Target="https://www.rpharms.com/Portals/0/RPS%20document%20library/Open%20access/Coronavirus/CMHP%20Monitoring%20Lithium%20during%20Covid-19%20Pandemic-RPSendorsed.pdf?ver=2020-03-31-103408-973" TargetMode="External"/><Relationship Id="rId56"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hyperlink" Target="http://www.oxfordhealthformulary.nhs.uk/docs/Lithium%20monitoring%20-%20information%20for%20health%20care%20professionals%20-%20COVID%2019%20memov2.pdf?UNLID=4328350702020613955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3398</Words>
  <Characters>18690</Characters>
  <Application>Microsoft Office Word</Application>
  <DocSecurity>0</DocSecurity>
  <Lines>155</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Woods</dc:creator>
  <cp:keywords/>
  <dc:description/>
  <cp:lastModifiedBy>astrid chevance</cp:lastModifiedBy>
  <cp:revision>11</cp:revision>
  <cp:lastPrinted>2020-03-29T22:36:00Z</cp:lastPrinted>
  <dcterms:created xsi:type="dcterms:W3CDTF">2020-04-23T10:21:00Z</dcterms:created>
  <dcterms:modified xsi:type="dcterms:W3CDTF">2020-10-31T13:06:00Z</dcterms:modified>
</cp:coreProperties>
</file>