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14F413E6" w:rsidR="00C134AF" w:rsidRPr="00C134AF" w:rsidRDefault="00C134AF" w:rsidP="00C134AF">
      <w:pPr>
        <w:spacing w:after="0" w:line="240" w:lineRule="auto"/>
        <w:rPr>
          <w:rFonts w:ascii="Times New Roman" w:eastAsia="Times New Roman" w:hAnsi="Times New Roman" w:cs="Times New Roman"/>
          <w:sz w:val="24"/>
          <w:szCs w:val="24"/>
          <w:lang w:eastAsia="ja-JP"/>
        </w:rPr>
      </w:pPr>
      <w:r w:rsidRPr="005C0539">
        <w:rPr>
          <w:rFonts w:asciiTheme="majorHAnsi" w:hAnsiTheme="majorHAnsi" w:cstheme="majorHAnsi"/>
          <w:noProof/>
          <w:color w:val="000000" w:themeColor="text1"/>
          <w:lang w:eastAsia="en-GB"/>
        </w:rPr>
        <w:drawing>
          <wp:anchor distT="0" distB="0" distL="114300" distR="114300" simplePos="0" relativeHeight="251658240" behindDoc="0" locked="0" layoutInCell="1" allowOverlap="1" wp14:anchorId="61DDB1D5" wp14:editId="01DE2B34">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r w:rsidR="004E652D" w:rsidRPr="00C134AF">
        <w:rPr>
          <w:rFonts w:ascii="Times New Roman" w:eastAsia="Times New Roman" w:hAnsi="Times New Roman" w:cs="Times New Roman"/>
          <w:sz w:val="24"/>
          <w:szCs w:val="24"/>
          <w:lang w:eastAsia="ja-JP"/>
        </w:rPr>
        <w:fldChar w:fldCharType="begin"/>
      </w:r>
      <w:r w:rsidR="004E652D" w:rsidRPr="00C134AF">
        <w:rPr>
          <w:rFonts w:ascii="Times New Roman" w:eastAsia="Times New Roman" w:hAnsi="Times New Roman" w:cs="Times New Roman"/>
          <w:sz w:val="24"/>
          <w:szCs w:val="24"/>
          <w:lang w:eastAsia="ja-JP"/>
        </w:rPr>
        <w:instrText xml:space="preserve"> INCLUDEPICTURE "https://oxfordbrc.nihr.ac.uk/wp-content/uploads/2019/04/Oxford-Biomedical-Research-Centre_logo_outlined_RGB_COL-1024x256.jpg" \* MERGEFORMATINET </w:instrText>
      </w:r>
      <w:r w:rsidR="004E652D" w:rsidRPr="00C134AF">
        <w:rPr>
          <w:rFonts w:ascii="Times New Roman" w:eastAsia="Times New Roman" w:hAnsi="Times New Roman" w:cs="Times New Roman"/>
          <w:sz w:val="24"/>
          <w:szCs w:val="24"/>
          <w:lang w:eastAsia="ja-JP"/>
        </w:rPr>
        <w:fldChar w:fldCharType="end"/>
      </w:r>
    </w:p>
    <w:p w14:paraId="66401FD3" w14:textId="72AC2270" w:rsidR="005414C1" w:rsidRPr="008339A4" w:rsidRDefault="004E652D" w:rsidP="00722151">
      <w:pPr>
        <w:spacing w:before="8" w:after="8" w:line="240" w:lineRule="auto"/>
        <w:rPr>
          <w:rFonts w:asciiTheme="majorHAnsi" w:hAnsiTheme="majorHAnsi" w:cstheme="majorHAnsi"/>
          <w:color w:val="000000" w:themeColor="text1"/>
        </w:rPr>
      </w:pPr>
      <w:r w:rsidRPr="00C134AF">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E308530" wp14:editId="293443A5">
            <wp:simplePos x="0" y="0"/>
            <wp:positionH relativeFrom="column">
              <wp:posOffset>0</wp:posOffset>
            </wp:positionH>
            <wp:positionV relativeFrom="page">
              <wp:posOffset>676769</wp:posOffset>
            </wp:positionV>
            <wp:extent cx="2680335" cy="465455"/>
            <wp:effectExtent l="0" t="0" r="0" b="444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0335" cy="46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3328F" w14:textId="77777777" w:rsidR="00B04713" w:rsidRDefault="00B04713" w:rsidP="00B04713">
      <w:pPr>
        <w:spacing w:before="8" w:after="8" w:line="240" w:lineRule="auto"/>
        <w:ind w:left="-567"/>
        <w:rPr>
          <w:rFonts w:asciiTheme="majorHAnsi" w:hAnsiTheme="majorHAnsi" w:cstheme="majorHAnsi"/>
          <w:b/>
          <w:bCs/>
          <w:color w:val="000000" w:themeColor="text1"/>
        </w:rPr>
      </w:pPr>
    </w:p>
    <w:p w14:paraId="5E06F90A"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5A733349"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424D090A" w14:textId="77777777" w:rsidR="00936004" w:rsidRDefault="00936004" w:rsidP="00B04713">
      <w:pPr>
        <w:spacing w:before="8" w:after="8" w:line="240" w:lineRule="auto"/>
        <w:ind w:left="-567"/>
        <w:rPr>
          <w:rFonts w:asciiTheme="majorHAnsi" w:hAnsiTheme="majorHAnsi" w:cstheme="majorHAnsi"/>
          <w:b/>
          <w:bCs/>
          <w:color w:val="000000" w:themeColor="text1"/>
        </w:rPr>
      </w:pPr>
    </w:p>
    <w:p w14:paraId="5F1A08BC" w14:textId="2E885DB1" w:rsidR="005C0539" w:rsidRPr="009747AA" w:rsidRDefault="009747AA" w:rsidP="009747AA">
      <w:pPr>
        <w:spacing w:before="8" w:after="8" w:line="240" w:lineRule="auto"/>
        <w:ind w:left="-567"/>
        <w:rPr>
          <w:rFonts w:asciiTheme="majorHAnsi" w:hAnsiTheme="majorHAnsi" w:cstheme="majorHAnsi"/>
          <w:b/>
          <w:bCs/>
          <w:color w:val="000000" w:themeColor="text1"/>
        </w:rPr>
      </w:pPr>
      <w:r>
        <w:rPr>
          <w:rFonts w:asciiTheme="majorHAnsi" w:hAnsiTheme="majorHAnsi" w:cstheme="majorHAnsi"/>
          <w:b/>
          <w:bCs/>
          <w:color w:val="000000" w:themeColor="text1"/>
        </w:rPr>
        <w:t>Tablo</w:t>
      </w:r>
      <w:r w:rsidR="005C0539" w:rsidRPr="000F7E38">
        <w:rPr>
          <w:rFonts w:asciiTheme="majorHAnsi" w:hAnsiTheme="majorHAnsi" w:cstheme="majorHAnsi"/>
          <w:b/>
          <w:bCs/>
          <w:color w:val="000000" w:themeColor="text1"/>
        </w:rPr>
        <w:t xml:space="preserve"> 1:</w:t>
      </w:r>
      <w:r w:rsidR="005C0539" w:rsidRPr="000F7E38">
        <w:rPr>
          <w:rFonts w:asciiTheme="majorHAnsi" w:hAnsiTheme="majorHAnsi" w:cstheme="majorHAnsi"/>
          <w:color w:val="000000" w:themeColor="text1"/>
        </w:rPr>
        <w:t xml:space="preserve"> </w:t>
      </w:r>
      <w:r>
        <w:rPr>
          <w:rFonts w:asciiTheme="majorHAnsi" w:hAnsiTheme="majorHAnsi" w:cstheme="majorHAnsi"/>
          <w:b/>
          <w:bCs/>
          <w:color w:val="000000" w:themeColor="text1"/>
        </w:rPr>
        <w:t>Klozapin tedavisi</w:t>
      </w:r>
      <w:r w:rsidR="000D6F50">
        <w:rPr>
          <w:rFonts w:asciiTheme="majorHAnsi" w:hAnsiTheme="majorHAnsi" w:cstheme="majorHAnsi"/>
          <w:b/>
          <w:bCs/>
          <w:color w:val="000000" w:themeColor="text1"/>
        </w:rPr>
        <w:t xml:space="preserve"> –</w:t>
      </w:r>
      <w:r w:rsidR="000D6F50" w:rsidRPr="000D6F50">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COVID-19 pandemisi sürecinde klozapin kullanan hastaların yönetimi</w:t>
      </w:r>
    </w:p>
    <w:p w14:paraId="664FE2FF" w14:textId="77777777" w:rsidR="004774FE" w:rsidRDefault="004774FE" w:rsidP="00D03757">
      <w:pPr>
        <w:spacing w:before="8" w:after="8" w:line="240" w:lineRule="auto"/>
        <w:ind w:hanging="567"/>
        <w:rPr>
          <w:rFonts w:asciiTheme="majorHAnsi" w:hAnsiTheme="majorHAnsi" w:cstheme="majorHAnsi"/>
          <w:i/>
          <w:iCs/>
          <w:color w:val="000000" w:themeColor="text1"/>
        </w:rPr>
      </w:pPr>
    </w:p>
    <w:p w14:paraId="371E5A10" w14:textId="77777777" w:rsidR="00D03757" w:rsidRDefault="00D03757" w:rsidP="00D03757">
      <w:pPr>
        <w:spacing w:before="8" w:after="8" w:line="240" w:lineRule="auto"/>
        <w:ind w:hanging="567"/>
      </w:pPr>
      <w:r w:rsidRPr="00E0210D">
        <w:rPr>
          <w:rFonts w:asciiTheme="majorHAnsi" w:hAnsiTheme="majorHAnsi" w:cstheme="majorHAnsi"/>
          <w:i/>
          <w:iCs/>
          <w:color w:val="000000" w:themeColor="text1"/>
        </w:rPr>
        <w:t>Her bölümdeki</w:t>
      </w:r>
      <w:r>
        <w:rPr>
          <w:rFonts w:asciiTheme="majorHAnsi" w:hAnsiTheme="majorHAnsi" w:cstheme="majorHAnsi"/>
          <w:i/>
          <w:iCs/>
          <w:color w:val="000000" w:themeColor="text1"/>
        </w:rPr>
        <w:t xml:space="preserve"> </w:t>
      </w:r>
      <w:r w:rsidRPr="00E0210D">
        <w:rPr>
          <w:rFonts w:asciiTheme="majorHAnsi" w:hAnsiTheme="majorHAnsi" w:cstheme="majorHAnsi"/>
          <w:i/>
          <w:iCs/>
          <w:color w:val="000000" w:themeColor="text1"/>
        </w:rPr>
        <w:t>sorular birbiriyle bağlantılıdır ve birlikte okunmalıdır.</w:t>
      </w:r>
      <w:r w:rsidRPr="0077141E">
        <w:t xml:space="preserve"> </w:t>
      </w:r>
    </w:p>
    <w:p w14:paraId="5715ED8C" w14:textId="7F46EBBF" w:rsidR="00FA7730" w:rsidRDefault="00D03757" w:rsidP="00FA7730">
      <w:pPr>
        <w:spacing w:before="8" w:after="8" w:line="240" w:lineRule="auto"/>
        <w:ind w:hanging="567"/>
        <w:rPr>
          <w:rFonts w:asciiTheme="majorHAnsi" w:hAnsiTheme="majorHAnsi" w:cstheme="majorHAnsi"/>
          <w:i/>
          <w:iCs/>
          <w:color w:val="000000" w:themeColor="text1"/>
        </w:rPr>
      </w:pPr>
      <w:r w:rsidRPr="0077141E">
        <w:rPr>
          <w:rFonts w:asciiTheme="majorHAnsi" w:hAnsiTheme="majorHAnsi" w:cstheme="majorHAnsi"/>
          <w:i/>
          <w:iCs/>
          <w:color w:val="000000" w:themeColor="text1"/>
        </w:rPr>
        <w:t xml:space="preserve">Her sorunun altında </w:t>
      </w:r>
      <w:r>
        <w:rPr>
          <w:rFonts w:asciiTheme="majorHAnsi" w:hAnsiTheme="majorHAnsi" w:cstheme="majorHAnsi"/>
          <w:i/>
          <w:iCs/>
          <w:color w:val="000000" w:themeColor="text1"/>
        </w:rPr>
        <w:t>kılavuz</w:t>
      </w:r>
      <w:r w:rsidRPr="0077141E">
        <w:rPr>
          <w:rFonts w:asciiTheme="majorHAnsi" w:hAnsiTheme="majorHAnsi" w:cstheme="majorHAnsi"/>
          <w:i/>
          <w:iCs/>
          <w:color w:val="000000" w:themeColor="text1"/>
        </w:rPr>
        <w:t xml:space="preserve"> öneri</w:t>
      </w:r>
      <w:r>
        <w:rPr>
          <w:rFonts w:asciiTheme="majorHAnsi" w:hAnsiTheme="majorHAnsi" w:cstheme="majorHAnsi"/>
          <w:i/>
          <w:iCs/>
          <w:color w:val="000000" w:themeColor="text1"/>
        </w:rPr>
        <w:t>leri</w:t>
      </w:r>
      <w:r w:rsidRPr="0077141E">
        <w:rPr>
          <w:rFonts w:asciiTheme="majorHAnsi" w:hAnsiTheme="majorHAnsi" w:cstheme="majorHAnsi"/>
          <w:i/>
          <w:iCs/>
          <w:color w:val="000000" w:themeColor="text1"/>
        </w:rPr>
        <w:t xml:space="preserve">ni destekleyen </w:t>
      </w:r>
      <w:r>
        <w:rPr>
          <w:rFonts w:asciiTheme="majorHAnsi" w:hAnsiTheme="majorHAnsi" w:cstheme="majorHAnsi"/>
          <w:i/>
          <w:iCs/>
          <w:color w:val="000000" w:themeColor="text1"/>
        </w:rPr>
        <w:t>verilere ait</w:t>
      </w:r>
      <w:r w:rsidRPr="0077141E">
        <w:rPr>
          <w:rFonts w:asciiTheme="majorHAnsi" w:hAnsiTheme="majorHAnsi" w:cstheme="majorHAnsi"/>
          <w:i/>
          <w:iCs/>
          <w:color w:val="000000" w:themeColor="text1"/>
        </w:rPr>
        <w:t xml:space="preserve"> kaynakların web bağlantıları</w:t>
      </w:r>
      <w:r>
        <w:rPr>
          <w:rFonts w:asciiTheme="majorHAnsi" w:hAnsiTheme="majorHAnsi" w:cstheme="majorHAnsi"/>
          <w:i/>
          <w:iCs/>
          <w:color w:val="000000" w:themeColor="text1"/>
        </w:rPr>
        <w:t xml:space="preserve"> </w:t>
      </w:r>
      <w:r w:rsidRPr="0077141E">
        <w:rPr>
          <w:rFonts w:asciiTheme="majorHAnsi" w:hAnsiTheme="majorHAnsi" w:cstheme="majorHAnsi"/>
          <w:i/>
          <w:iCs/>
          <w:color w:val="000000" w:themeColor="text1"/>
        </w:rPr>
        <w:t>bulunmaktadır.</w:t>
      </w:r>
    </w:p>
    <w:p w14:paraId="5ECF010F" w14:textId="77777777" w:rsidR="00FA7730" w:rsidRDefault="00FA7730" w:rsidP="00FA7730">
      <w:pPr>
        <w:spacing w:before="8" w:after="8" w:line="240" w:lineRule="auto"/>
        <w:ind w:hanging="567"/>
        <w:rPr>
          <w:rFonts w:asciiTheme="majorHAnsi" w:hAnsiTheme="majorHAnsi" w:cstheme="majorHAnsi"/>
          <w:i/>
          <w:iCs/>
          <w:color w:val="000000" w:themeColor="text1"/>
        </w:rPr>
      </w:pPr>
    </w:p>
    <w:p w14:paraId="46689442" w14:textId="2A6706E7" w:rsidR="00FA7730" w:rsidRPr="00FA7730" w:rsidRDefault="00FA7730" w:rsidP="00FA7730">
      <w:pPr>
        <w:spacing w:before="8" w:after="8" w:line="240" w:lineRule="auto"/>
        <w:ind w:left="-567"/>
        <w:rPr>
          <w:rFonts w:asciiTheme="majorHAnsi" w:hAnsiTheme="majorHAnsi" w:cstheme="majorHAnsi"/>
          <w:i/>
          <w:color w:val="000000" w:themeColor="text1"/>
          <w:lang w:val="fr-FR"/>
        </w:rPr>
      </w:pPr>
      <w:r w:rsidRPr="00FA7730">
        <w:rPr>
          <w:rFonts w:asciiTheme="majorHAnsi" w:hAnsiTheme="majorHAnsi" w:cstheme="majorHAnsi"/>
          <w:i/>
          <w:iCs/>
          <w:color w:val="000000" w:themeColor="text1"/>
        </w:rPr>
        <w:t>Bu belge “</w:t>
      </w:r>
      <w:r w:rsidRPr="00FA7730">
        <w:rPr>
          <w:rFonts w:asciiTheme="majorHAnsi" w:hAnsiTheme="majorHAnsi" w:cstheme="majorHAnsi"/>
          <w:i/>
          <w:color w:val="000000" w:themeColor="text1"/>
          <w:lang w:val="fr-FR"/>
        </w:rPr>
        <w:t>How to manage patients on clozapine during the COVID-19 pandemic</w:t>
      </w:r>
      <w:r w:rsidRPr="00FA7730">
        <w:rPr>
          <w:rFonts w:asciiTheme="majorHAnsi" w:hAnsiTheme="majorHAnsi" w:cstheme="majorHAnsi"/>
          <w:i/>
          <w:color w:val="000000" w:themeColor="text1"/>
        </w:rPr>
        <w:t>” ba</w:t>
      </w:r>
      <w:r w:rsidRPr="00FA7730">
        <w:rPr>
          <w:rFonts w:asciiTheme="majorHAnsi" w:hAnsiTheme="majorHAnsi" w:cstheme="majorHAnsi"/>
          <w:i/>
          <w:color w:val="000000" w:themeColor="text1"/>
          <w:lang w:val="tr-TR"/>
        </w:rPr>
        <w:t>şlıklı kı</w:t>
      </w:r>
      <w:r>
        <w:rPr>
          <w:rFonts w:asciiTheme="majorHAnsi" w:hAnsiTheme="majorHAnsi" w:cstheme="majorHAnsi"/>
          <w:i/>
          <w:color w:val="000000" w:themeColor="text1"/>
          <w:lang w:val="tr-TR"/>
        </w:rPr>
        <w:t>lavuzu</w:t>
      </w:r>
      <w:r w:rsidRPr="00FA7730">
        <w:rPr>
          <w:rFonts w:asciiTheme="majorHAnsi" w:hAnsiTheme="majorHAnsi" w:cstheme="majorHAnsi"/>
          <w:i/>
          <w:color w:val="000000" w:themeColor="text1"/>
          <w:lang w:val="tr-TR"/>
        </w:rPr>
        <w:t>n</w:t>
      </w:r>
      <w:r w:rsidRPr="00FA7730">
        <w:rPr>
          <w:rFonts w:asciiTheme="majorHAnsi" w:hAnsiTheme="majorHAnsi" w:cstheme="majorHAnsi"/>
          <w:i/>
          <w:color w:val="000000" w:themeColor="text1"/>
          <w:lang w:val="fr-FR"/>
        </w:rPr>
        <w:t xml:space="preserve"> Türkçe tercüme ve adaptasyonu n</w:t>
      </w:r>
      <w:r w:rsidRPr="00FA7730">
        <w:rPr>
          <w:rFonts w:asciiTheme="majorHAnsi" w:hAnsiTheme="majorHAnsi" w:cstheme="majorHAnsi"/>
          <w:i/>
          <w:color w:val="000000" w:themeColor="text1"/>
          <w:lang w:val="tr-TR"/>
        </w:rPr>
        <w:t>iteliğindedir</w:t>
      </w:r>
      <w:r w:rsidRPr="00FA7730">
        <w:rPr>
          <w:rFonts w:asciiTheme="majorHAnsi" w:hAnsiTheme="majorHAnsi" w:cstheme="majorHAnsi"/>
          <w:i/>
          <w:color w:val="000000" w:themeColor="text1"/>
          <w:lang w:val="fr-FR"/>
        </w:rPr>
        <w:t xml:space="preserve">.  </w:t>
      </w:r>
      <w:hyperlink r:id="rId9" w:history="1">
        <w:r w:rsidRPr="00FA7730">
          <w:rPr>
            <w:rStyle w:val="Hyperlink"/>
            <w:rFonts w:asciiTheme="majorHAnsi" w:hAnsiTheme="majorHAnsi" w:cstheme="majorHAnsi"/>
            <w:i/>
            <w:lang w:val="fr-FR"/>
          </w:rPr>
          <w:t>https://oxfordhealthbrc.nihr.ac.uk/our-work/oxppl/covid-19-and-mental-health-guidance/</w:t>
        </w:r>
      </w:hyperlink>
    </w:p>
    <w:p w14:paraId="5299A39F" w14:textId="77777777" w:rsidR="00FA7730" w:rsidRDefault="00FA7730" w:rsidP="00D03757">
      <w:pPr>
        <w:spacing w:before="8" w:after="8" w:line="240" w:lineRule="auto"/>
        <w:ind w:hanging="567"/>
        <w:rPr>
          <w:rFonts w:asciiTheme="majorHAnsi" w:hAnsiTheme="majorHAnsi" w:cstheme="majorHAnsi"/>
          <w:i/>
          <w:iCs/>
          <w:color w:val="000000" w:themeColor="text1"/>
        </w:rPr>
      </w:pPr>
    </w:p>
    <w:p w14:paraId="50050DD2" w14:textId="6CF01D1C" w:rsidR="00FA7730" w:rsidRPr="00EA3480" w:rsidRDefault="00FA7730" w:rsidP="00D03757">
      <w:pPr>
        <w:spacing w:before="8" w:after="8" w:line="240" w:lineRule="auto"/>
        <w:ind w:hanging="567"/>
        <w:rPr>
          <w:rFonts w:asciiTheme="majorHAnsi" w:hAnsiTheme="majorHAnsi" w:cstheme="majorHAnsi"/>
          <w:i/>
          <w:iCs/>
          <w:color w:val="000000" w:themeColor="text1"/>
        </w:rPr>
      </w:pPr>
      <w:r>
        <w:rPr>
          <w:rFonts w:asciiTheme="majorHAnsi" w:hAnsiTheme="majorHAnsi" w:cstheme="majorHAnsi"/>
          <w:i/>
          <w:iCs/>
          <w:color w:val="000000" w:themeColor="text1"/>
        </w:rPr>
        <w:t>Hakan Yılmaz, Bahtiyar Umut Özer, Ayşe Kurtulmuş</w:t>
      </w:r>
    </w:p>
    <w:p w14:paraId="470AFB6D" w14:textId="77777777" w:rsidR="00722151" w:rsidRPr="005C0539" w:rsidRDefault="00722151" w:rsidP="00722151">
      <w:pPr>
        <w:spacing w:before="8" w:after="8" w:line="240" w:lineRule="auto"/>
        <w:rPr>
          <w:rFonts w:asciiTheme="majorHAnsi" w:hAnsiTheme="majorHAnsi" w:cstheme="majorHAnsi"/>
        </w:rPr>
      </w:pPr>
    </w:p>
    <w:tbl>
      <w:tblPr>
        <w:tblStyle w:val="TableGrid"/>
        <w:tblpPr w:leftFromText="180" w:rightFromText="180" w:vertAnchor="text" w:tblpX="-575" w:tblpY="1"/>
        <w:tblOverlap w:val="never"/>
        <w:tblW w:w="5369" w:type="pct"/>
        <w:tblLook w:val="04A0" w:firstRow="1" w:lastRow="0" w:firstColumn="1" w:lastColumn="0" w:noHBand="0" w:noVBand="1"/>
      </w:tblPr>
      <w:tblGrid>
        <w:gridCol w:w="3412"/>
        <w:gridCol w:w="11447"/>
      </w:tblGrid>
      <w:tr w:rsidR="00D54077" w:rsidRPr="00547037" w14:paraId="41DC99C5" w14:textId="77777777" w:rsidTr="00D54077">
        <w:tc>
          <w:tcPr>
            <w:tcW w:w="1148" w:type="pct"/>
            <w:tcBorders>
              <w:top w:val="single" w:sz="48" w:space="0" w:color="E2F2FF"/>
              <w:left w:val="single" w:sz="48" w:space="0" w:color="E2F2FF"/>
              <w:bottom w:val="single" w:sz="4" w:space="0" w:color="auto"/>
              <w:right w:val="nil"/>
            </w:tcBorders>
            <w:shd w:val="clear" w:color="auto" w:fill="E2F2FF"/>
          </w:tcPr>
          <w:p w14:paraId="33698D3E" w14:textId="6F8060F3" w:rsidR="00D54077" w:rsidRPr="00547037" w:rsidRDefault="009747AA" w:rsidP="00D54077">
            <w:pPr>
              <w:spacing w:before="8" w:after="8"/>
              <w:rPr>
                <w:rFonts w:asciiTheme="majorHAnsi" w:hAnsiTheme="majorHAnsi" w:cstheme="majorHAnsi"/>
                <w:b/>
                <w:bCs/>
                <w:sz w:val="20"/>
                <w:szCs w:val="20"/>
              </w:rPr>
            </w:pPr>
            <w:r>
              <w:rPr>
                <w:rFonts w:asciiTheme="majorHAnsi" w:hAnsiTheme="majorHAnsi" w:cstheme="majorHAnsi"/>
                <w:b/>
                <w:bCs/>
                <w:sz w:val="20"/>
                <w:szCs w:val="20"/>
              </w:rPr>
              <w:t>Klinik soru</w:t>
            </w:r>
            <w:r w:rsidR="00D54077" w:rsidRPr="00B45E14">
              <w:rPr>
                <w:rFonts w:asciiTheme="majorHAnsi" w:hAnsiTheme="majorHAnsi" w:cstheme="majorHAnsi"/>
                <w:b/>
                <w:bCs/>
                <w:sz w:val="20"/>
                <w:szCs w:val="20"/>
              </w:rPr>
              <w:t xml:space="preserve"> </w:t>
            </w:r>
          </w:p>
        </w:tc>
        <w:tc>
          <w:tcPr>
            <w:tcW w:w="3852" w:type="pct"/>
            <w:tcBorders>
              <w:top w:val="single" w:sz="48" w:space="0" w:color="E2F2FF"/>
              <w:left w:val="nil"/>
              <w:bottom w:val="single" w:sz="4" w:space="0" w:color="auto"/>
              <w:right w:val="single" w:sz="48" w:space="0" w:color="E2F2FF"/>
            </w:tcBorders>
            <w:shd w:val="clear" w:color="auto" w:fill="E2F2FF"/>
          </w:tcPr>
          <w:p w14:paraId="735C52DF" w14:textId="52720728" w:rsidR="00D54077" w:rsidRPr="00547037" w:rsidRDefault="009747AA" w:rsidP="009747AA">
            <w:pPr>
              <w:spacing w:before="8" w:after="8"/>
              <w:rPr>
                <w:rFonts w:asciiTheme="majorHAnsi" w:hAnsiTheme="majorHAnsi" w:cstheme="majorHAnsi"/>
                <w:b/>
                <w:bCs/>
                <w:sz w:val="20"/>
                <w:szCs w:val="20"/>
              </w:rPr>
            </w:pPr>
            <w:r>
              <w:rPr>
                <w:rFonts w:asciiTheme="majorHAnsi" w:hAnsiTheme="majorHAnsi" w:cstheme="majorHAnsi"/>
                <w:b/>
                <w:bCs/>
                <w:sz w:val="20"/>
                <w:szCs w:val="20"/>
              </w:rPr>
              <w:t>Kılavuz</w:t>
            </w:r>
          </w:p>
        </w:tc>
      </w:tr>
      <w:tr w:rsidR="00D54077" w:rsidRPr="00547037" w14:paraId="690D7DB0" w14:textId="77777777" w:rsidTr="00D54077">
        <w:tc>
          <w:tcPr>
            <w:tcW w:w="1148" w:type="pct"/>
            <w:tcBorders>
              <w:top w:val="single" w:sz="4" w:space="0" w:color="auto"/>
              <w:left w:val="single" w:sz="48" w:space="0" w:color="E2F2FF"/>
              <w:bottom w:val="nil"/>
              <w:right w:val="nil"/>
            </w:tcBorders>
            <w:shd w:val="clear" w:color="auto" w:fill="E2F2FF"/>
          </w:tcPr>
          <w:p w14:paraId="4703FEBF" w14:textId="77777777" w:rsidR="00D54077" w:rsidRPr="00547037" w:rsidRDefault="00D54077" w:rsidP="00D54077">
            <w:pPr>
              <w:spacing w:before="8" w:after="8"/>
              <w:rPr>
                <w:rFonts w:asciiTheme="majorHAnsi" w:hAnsiTheme="majorHAnsi" w:cstheme="majorHAnsi"/>
                <w:b/>
                <w:bCs/>
                <w:sz w:val="20"/>
                <w:szCs w:val="20"/>
              </w:rPr>
            </w:pPr>
          </w:p>
        </w:tc>
        <w:tc>
          <w:tcPr>
            <w:tcW w:w="3852" w:type="pct"/>
            <w:tcBorders>
              <w:top w:val="single" w:sz="4" w:space="0" w:color="auto"/>
              <w:left w:val="nil"/>
              <w:bottom w:val="nil"/>
              <w:right w:val="single" w:sz="48" w:space="0" w:color="E2F2FF"/>
            </w:tcBorders>
            <w:shd w:val="clear" w:color="auto" w:fill="E2F2FF"/>
          </w:tcPr>
          <w:p w14:paraId="7F50B99A" w14:textId="77777777" w:rsidR="00D54077" w:rsidRPr="00547037" w:rsidRDefault="00D54077" w:rsidP="00936004">
            <w:pPr>
              <w:spacing w:before="8" w:after="8"/>
              <w:rPr>
                <w:rFonts w:asciiTheme="majorHAnsi" w:hAnsiTheme="majorHAnsi" w:cstheme="majorHAnsi"/>
                <w:sz w:val="20"/>
                <w:szCs w:val="20"/>
              </w:rPr>
            </w:pPr>
          </w:p>
        </w:tc>
      </w:tr>
      <w:tr w:rsidR="00B04713" w:rsidRPr="00547037" w14:paraId="3EC360B2" w14:textId="77777777" w:rsidTr="00D54077">
        <w:tc>
          <w:tcPr>
            <w:tcW w:w="5000" w:type="pct"/>
            <w:gridSpan w:val="2"/>
            <w:tcBorders>
              <w:top w:val="nil"/>
              <w:left w:val="single" w:sz="48" w:space="0" w:color="E2F2FF"/>
              <w:bottom w:val="nil"/>
              <w:right w:val="single" w:sz="48" w:space="0" w:color="E2F2FF"/>
            </w:tcBorders>
            <w:shd w:val="clear" w:color="auto" w:fill="002147"/>
          </w:tcPr>
          <w:p w14:paraId="7F981443" w14:textId="646A9A81" w:rsidR="00C134AF" w:rsidRPr="00547037" w:rsidRDefault="009747AA" w:rsidP="00936004">
            <w:pPr>
              <w:spacing w:before="8" w:after="8"/>
              <w:rPr>
                <w:rFonts w:asciiTheme="majorHAnsi" w:hAnsiTheme="majorHAnsi" w:cstheme="majorHAnsi"/>
                <w:b/>
                <w:bCs/>
                <w:sz w:val="20"/>
                <w:szCs w:val="20"/>
              </w:rPr>
            </w:pPr>
            <w:r>
              <w:rPr>
                <w:rFonts w:asciiTheme="majorHAnsi" w:hAnsiTheme="majorHAnsi" w:cstheme="majorHAnsi"/>
                <w:b/>
                <w:bCs/>
                <w:sz w:val="20"/>
                <w:szCs w:val="20"/>
              </w:rPr>
              <w:t>Klozapine başlamak</w:t>
            </w:r>
          </w:p>
        </w:tc>
      </w:tr>
      <w:tr w:rsidR="00B04713" w:rsidRPr="00547037" w14:paraId="3CD247A2" w14:textId="77777777" w:rsidTr="00D54077">
        <w:tc>
          <w:tcPr>
            <w:tcW w:w="1148" w:type="pct"/>
            <w:tcBorders>
              <w:top w:val="nil"/>
              <w:left w:val="single" w:sz="48" w:space="0" w:color="E2F2FF"/>
              <w:bottom w:val="nil"/>
              <w:right w:val="nil"/>
            </w:tcBorders>
            <w:shd w:val="clear" w:color="auto" w:fill="E2F2FF"/>
          </w:tcPr>
          <w:p w14:paraId="2B9AE764" w14:textId="22572F73" w:rsidR="005C0539" w:rsidRPr="00547037" w:rsidRDefault="00AB788D" w:rsidP="00B04713">
            <w:pPr>
              <w:spacing w:before="8" w:after="8"/>
              <w:rPr>
                <w:rFonts w:asciiTheme="majorHAnsi" w:hAnsiTheme="majorHAnsi" w:cstheme="majorHAnsi"/>
                <w:b/>
                <w:bCs/>
                <w:sz w:val="20"/>
                <w:szCs w:val="20"/>
              </w:rPr>
            </w:pPr>
            <w:r>
              <w:rPr>
                <w:rFonts w:asciiTheme="majorHAnsi" w:hAnsiTheme="majorHAnsi" w:cstheme="majorHAnsi"/>
                <w:b/>
                <w:bCs/>
                <w:sz w:val="20"/>
                <w:szCs w:val="20"/>
              </w:rPr>
              <w:t>Hastalarıma klozapin başlayabilir miyim</w:t>
            </w:r>
            <w:r w:rsidR="005C0539" w:rsidRPr="00547037">
              <w:rPr>
                <w:rFonts w:asciiTheme="majorHAnsi" w:hAnsiTheme="majorHAnsi" w:cstheme="majorHAnsi"/>
                <w:b/>
                <w:bCs/>
                <w:sz w:val="20"/>
                <w:szCs w:val="20"/>
              </w:rPr>
              <w:t>?</w:t>
            </w:r>
          </w:p>
          <w:p w14:paraId="0EDE25C1" w14:textId="77777777" w:rsidR="008339A4" w:rsidRDefault="008339A4" w:rsidP="00B04713">
            <w:pPr>
              <w:spacing w:before="8" w:after="8"/>
              <w:rPr>
                <w:rFonts w:asciiTheme="majorHAnsi" w:eastAsia="Times New Roman" w:hAnsiTheme="majorHAnsi" w:cstheme="majorHAnsi"/>
                <w:color w:val="000000" w:themeColor="text1"/>
                <w:sz w:val="20"/>
                <w:szCs w:val="20"/>
                <w:lang w:eastAsia="ja-JP"/>
              </w:rPr>
            </w:pPr>
            <w:r w:rsidRPr="00547037">
              <w:rPr>
                <w:rFonts w:asciiTheme="majorHAnsi" w:eastAsia="Times New Roman" w:hAnsiTheme="majorHAnsi" w:cstheme="majorHAnsi"/>
                <w:color w:val="000000" w:themeColor="text1"/>
                <w:sz w:val="20"/>
                <w:szCs w:val="20"/>
                <w:lang w:eastAsia="ja-JP"/>
              </w:rPr>
              <w:t>[</w:t>
            </w:r>
            <w:hyperlink r:id="rId10" w:history="1">
              <w:r w:rsidRPr="00547037">
                <w:rPr>
                  <w:rStyle w:val="Hyperlink"/>
                  <w:rFonts w:asciiTheme="majorHAnsi" w:eastAsia="Times New Roman" w:hAnsiTheme="majorHAnsi" w:cstheme="majorHAnsi"/>
                  <w:sz w:val="20"/>
                  <w:szCs w:val="20"/>
                  <w:lang w:eastAsia="ja-JP"/>
                </w:rPr>
                <w:t>link</w:t>
              </w:r>
            </w:hyperlink>
            <w:r w:rsidRPr="00547037">
              <w:rPr>
                <w:rStyle w:val="Hyperlink"/>
                <w:rFonts w:asciiTheme="majorHAnsi" w:eastAsia="Times New Roman" w:hAnsiTheme="majorHAnsi" w:cstheme="majorHAnsi"/>
                <w:sz w:val="20"/>
                <w:szCs w:val="20"/>
                <w:lang w:eastAsia="ja-JP"/>
              </w:rPr>
              <w:t>1</w:t>
            </w:r>
            <w:r w:rsidRPr="00547037">
              <w:rPr>
                <w:rFonts w:asciiTheme="majorHAnsi" w:eastAsia="Times New Roman" w:hAnsiTheme="majorHAnsi" w:cstheme="majorHAnsi"/>
                <w:color w:val="000000" w:themeColor="text1"/>
                <w:sz w:val="20"/>
                <w:szCs w:val="20"/>
                <w:lang w:eastAsia="ja-JP"/>
              </w:rPr>
              <w:t>]</w:t>
            </w:r>
          </w:p>
          <w:p w14:paraId="68615CD6" w14:textId="01AA459F" w:rsidR="004C2BFF" w:rsidRPr="004C2BFF" w:rsidRDefault="004C2BFF" w:rsidP="00B04713">
            <w:pPr>
              <w:spacing w:before="8" w:after="8"/>
              <w:rPr>
                <w:rFonts w:asciiTheme="majorHAnsi" w:hAnsiTheme="majorHAnsi" w:cstheme="majorHAnsi"/>
                <w:sz w:val="20"/>
                <w:szCs w:val="20"/>
              </w:rPr>
            </w:pPr>
            <w:r w:rsidRPr="004C2BFF">
              <w:rPr>
                <w:rFonts w:asciiTheme="majorHAnsi" w:eastAsia="Times New Roman" w:hAnsiTheme="majorHAnsi" w:cstheme="majorHAnsi"/>
                <w:color w:val="000000" w:themeColor="text1"/>
                <w:sz w:val="20"/>
                <w:szCs w:val="20"/>
                <w:lang w:eastAsia="ja-JP"/>
              </w:rPr>
              <w:t>[</w:t>
            </w:r>
            <w:hyperlink r:id="rId11" w:history="1">
              <w:r w:rsidRPr="004C2BFF">
                <w:rPr>
                  <w:rStyle w:val="Hyperlink"/>
                  <w:rFonts w:asciiTheme="majorHAnsi" w:eastAsia="Times New Roman" w:hAnsiTheme="majorHAnsi" w:cstheme="majorHAnsi"/>
                  <w:sz w:val="20"/>
                  <w:szCs w:val="20"/>
                  <w:lang w:eastAsia="ja-JP"/>
                </w:rPr>
                <w:t>link5</w:t>
              </w:r>
            </w:hyperlink>
            <w:r w:rsidRPr="004C2BFF">
              <w:rPr>
                <w:rFonts w:asciiTheme="majorHAnsi" w:eastAsia="Times New Roman" w:hAnsiTheme="majorHAnsi" w:cstheme="majorHAnsi"/>
                <w:color w:val="000000" w:themeColor="text1"/>
                <w:sz w:val="20"/>
                <w:szCs w:val="20"/>
                <w:lang w:eastAsia="ja-JP"/>
              </w:rPr>
              <w:t>]</w:t>
            </w:r>
          </w:p>
        </w:tc>
        <w:tc>
          <w:tcPr>
            <w:tcW w:w="3852" w:type="pct"/>
            <w:tcBorders>
              <w:top w:val="nil"/>
              <w:left w:val="nil"/>
              <w:bottom w:val="nil"/>
              <w:right w:val="single" w:sz="48" w:space="0" w:color="E2F2FF"/>
            </w:tcBorders>
            <w:shd w:val="clear" w:color="auto" w:fill="E2F2FF"/>
          </w:tcPr>
          <w:p w14:paraId="05C419B6" w14:textId="030ABD88" w:rsidR="00AB788D" w:rsidRDefault="00D42A0A" w:rsidP="00BF7071">
            <w:pPr>
              <w:spacing w:before="8" w:after="8"/>
              <w:rPr>
                <w:rFonts w:asciiTheme="majorHAnsi" w:eastAsia="Times New Roman" w:hAnsiTheme="majorHAnsi" w:cstheme="majorHAnsi"/>
                <w:b/>
                <w:bCs/>
                <w:color w:val="000000" w:themeColor="text1"/>
                <w:sz w:val="20"/>
                <w:szCs w:val="20"/>
                <w:lang w:eastAsia="ja-JP"/>
              </w:rPr>
            </w:pPr>
            <w:r>
              <w:rPr>
                <w:rFonts w:asciiTheme="majorHAnsi" w:eastAsia="Times New Roman" w:hAnsiTheme="majorHAnsi" w:cstheme="majorHAnsi"/>
                <w:b/>
                <w:bCs/>
                <w:color w:val="000000" w:themeColor="text1"/>
                <w:sz w:val="20"/>
                <w:szCs w:val="20"/>
                <w:lang w:eastAsia="ja-JP"/>
              </w:rPr>
              <w:t>Bu dönemde, r</w:t>
            </w:r>
            <w:r w:rsidR="00B3723D">
              <w:rPr>
                <w:rFonts w:asciiTheme="majorHAnsi" w:eastAsia="Times New Roman" w:hAnsiTheme="majorHAnsi" w:cstheme="majorHAnsi"/>
                <w:b/>
                <w:bCs/>
                <w:color w:val="000000" w:themeColor="text1"/>
                <w:sz w:val="20"/>
                <w:szCs w:val="20"/>
                <w:lang w:eastAsia="ja-JP"/>
              </w:rPr>
              <w:t>utin kan takipleri</w:t>
            </w:r>
            <w:r w:rsidR="007E6E3B">
              <w:rPr>
                <w:rFonts w:asciiTheme="majorHAnsi" w:eastAsia="Times New Roman" w:hAnsiTheme="majorHAnsi" w:cstheme="majorHAnsi"/>
                <w:b/>
                <w:bCs/>
                <w:color w:val="000000" w:themeColor="text1"/>
                <w:sz w:val="20"/>
                <w:szCs w:val="20"/>
                <w:lang w:eastAsia="ja-JP"/>
              </w:rPr>
              <w:t xml:space="preserve">nin sürdürülebilirliği ve </w:t>
            </w:r>
            <w:r w:rsidR="003C0BBB">
              <w:rPr>
                <w:rFonts w:asciiTheme="majorHAnsi" w:eastAsia="Times New Roman" w:hAnsiTheme="majorHAnsi" w:cstheme="majorHAnsi"/>
                <w:b/>
                <w:bCs/>
                <w:color w:val="000000" w:themeColor="text1"/>
                <w:sz w:val="20"/>
                <w:szCs w:val="20"/>
                <w:lang w:eastAsia="ja-JP"/>
              </w:rPr>
              <w:t xml:space="preserve">devamlılığı güvence altına alınmadığı sürece, </w:t>
            </w:r>
            <w:r w:rsidR="009747AA">
              <w:rPr>
                <w:rFonts w:asciiTheme="majorHAnsi" w:eastAsia="Times New Roman" w:hAnsiTheme="majorHAnsi" w:cstheme="majorHAnsi"/>
                <w:b/>
                <w:bCs/>
                <w:color w:val="000000" w:themeColor="text1"/>
                <w:sz w:val="20"/>
                <w:szCs w:val="20"/>
                <w:lang w:eastAsia="ja-JP"/>
              </w:rPr>
              <w:t>hastalara güvenli</w:t>
            </w:r>
            <w:r>
              <w:rPr>
                <w:rFonts w:asciiTheme="majorHAnsi" w:eastAsia="Times New Roman" w:hAnsiTheme="majorHAnsi" w:cstheme="majorHAnsi"/>
                <w:b/>
                <w:bCs/>
                <w:color w:val="000000" w:themeColor="text1"/>
                <w:sz w:val="20"/>
                <w:szCs w:val="20"/>
                <w:lang w:eastAsia="ja-JP"/>
              </w:rPr>
              <w:t xml:space="preserve"> bir şekilde klozapin başlamak pek </w:t>
            </w:r>
            <w:r w:rsidR="004774FE">
              <w:rPr>
                <w:rFonts w:asciiTheme="majorHAnsi" w:eastAsia="Times New Roman" w:hAnsiTheme="majorHAnsi" w:cstheme="majorHAnsi"/>
                <w:b/>
                <w:bCs/>
                <w:color w:val="000000" w:themeColor="text1"/>
                <w:sz w:val="20"/>
                <w:szCs w:val="20"/>
                <w:lang w:eastAsia="ja-JP"/>
              </w:rPr>
              <w:t>olası değildir</w:t>
            </w:r>
            <w:r>
              <w:rPr>
                <w:rFonts w:asciiTheme="majorHAnsi" w:eastAsia="Times New Roman" w:hAnsiTheme="majorHAnsi" w:cstheme="majorHAnsi"/>
                <w:b/>
                <w:bCs/>
                <w:color w:val="000000" w:themeColor="text1"/>
                <w:sz w:val="20"/>
                <w:szCs w:val="20"/>
                <w:lang w:eastAsia="ja-JP"/>
              </w:rPr>
              <w:t xml:space="preserve">. </w:t>
            </w:r>
          </w:p>
          <w:p w14:paraId="6C35D916" w14:textId="77777777" w:rsidR="008D1D90" w:rsidRDefault="008D1D90" w:rsidP="00BF7071">
            <w:pPr>
              <w:spacing w:before="8" w:after="8"/>
              <w:rPr>
                <w:rFonts w:asciiTheme="majorHAnsi" w:eastAsia="Times New Roman" w:hAnsiTheme="majorHAnsi" w:cstheme="majorHAnsi"/>
                <w:b/>
                <w:bCs/>
                <w:color w:val="000000" w:themeColor="text1"/>
                <w:sz w:val="20"/>
                <w:szCs w:val="20"/>
                <w:highlight w:val="yellow"/>
                <w:lang w:eastAsia="ja-JP"/>
              </w:rPr>
            </w:pPr>
          </w:p>
          <w:p w14:paraId="59FAC6AF" w14:textId="1EEA3877" w:rsidR="00AB788D" w:rsidRPr="00042FC4" w:rsidRDefault="00624F50" w:rsidP="00BF7071">
            <w:pPr>
              <w:spacing w:before="8" w:after="8"/>
              <w:rPr>
                <w:rFonts w:asciiTheme="majorHAnsi" w:eastAsia="Times New Roman" w:hAnsiTheme="majorHAnsi" w:cstheme="majorHAnsi"/>
                <w:bCs/>
                <w:color w:val="000000" w:themeColor="text1"/>
                <w:sz w:val="20"/>
                <w:szCs w:val="20"/>
                <w:lang w:eastAsia="ja-JP"/>
              </w:rPr>
            </w:pPr>
            <w:r w:rsidRPr="00042FC4">
              <w:rPr>
                <w:rFonts w:asciiTheme="majorHAnsi" w:eastAsia="Times New Roman" w:hAnsiTheme="majorHAnsi" w:cstheme="majorHAnsi"/>
                <w:bCs/>
                <w:color w:val="000000" w:themeColor="text1"/>
                <w:sz w:val="20"/>
                <w:szCs w:val="20"/>
                <w:lang w:eastAsia="ja-JP"/>
              </w:rPr>
              <w:t xml:space="preserve">Ancak, </w:t>
            </w:r>
            <w:r w:rsidR="00F00004" w:rsidRPr="00042FC4">
              <w:rPr>
                <w:rFonts w:asciiTheme="majorHAnsi" w:eastAsia="Times New Roman" w:hAnsiTheme="majorHAnsi" w:cstheme="majorHAnsi"/>
                <w:bCs/>
                <w:color w:val="000000" w:themeColor="text1"/>
                <w:sz w:val="20"/>
                <w:szCs w:val="20"/>
                <w:lang w:eastAsia="ja-JP"/>
              </w:rPr>
              <w:t xml:space="preserve">ilgili hekimlerin </w:t>
            </w:r>
            <w:r w:rsidR="008D1D90" w:rsidRPr="00042FC4">
              <w:rPr>
                <w:rFonts w:asciiTheme="majorHAnsi" w:eastAsia="Times New Roman" w:hAnsiTheme="majorHAnsi" w:cstheme="majorHAnsi"/>
                <w:bCs/>
                <w:color w:val="000000" w:themeColor="text1"/>
                <w:sz w:val="20"/>
                <w:szCs w:val="20"/>
                <w:lang w:eastAsia="ja-JP"/>
              </w:rPr>
              <w:t xml:space="preserve">tavsiyeleri üzerine, </w:t>
            </w:r>
            <w:r w:rsidR="00D42A0A" w:rsidRPr="00042FC4">
              <w:rPr>
                <w:rFonts w:asciiTheme="majorHAnsi" w:eastAsia="Times New Roman" w:hAnsiTheme="majorHAnsi" w:cstheme="majorHAnsi"/>
                <w:bCs/>
                <w:color w:val="000000" w:themeColor="text1"/>
                <w:sz w:val="20"/>
                <w:szCs w:val="20"/>
                <w:lang w:eastAsia="ja-JP"/>
              </w:rPr>
              <w:t xml:space="preserve">bazı nadir klinik durumlarda </w:t>
            </w:r>
            <w:r w:rsidR="008D1D90" w:rsidRPr="00042FC4">
              <w:rPr>
                <w:rFonts w:asciiTheme="majorHAnsi" w:eastAsia="Times New Roman" w:hAnsiTheme="majorHAnsi" w:cstheme="majorHAnsi"/>
                <w:bCs/>
                <w:color w:val="000000" w:themeColor="text1"/>
                <w:sz w:val="20"/>
                <w:szCs w:val="20"/>
                <w:lang w:eastAsia="ja-JP"/>
              </w:rPr>
              <w:t xml:space="preserve">yatan hastalarda </w:t>
            </w:r>
            <w:r w:rsidR="00D42A0A" w:rsidRPr="00042FC4">
              <w:rPr>
                <w:rFonts w:asciiTheme="majorHAnsi" w:eastAsia="Times New Roman" w:hAnsiTheme="majorHAnsi" w:cstheme="majorHAnsi"/>
                <w:bCs/>
                <w:color w:val="000000" w:themeColor="text1"/>
                <w:sz w:val="20"/>
                <w:szCs w:val="20"/>
                <w:lang w:eastAsia="ja-JP"/>
              </w:rPr>
              <w:t>klozapin başla</w:t>
            </w:r>
            <w:r w:rsidR="007E6E3B" w:rsidRPr="00042FC4">
              <w:rPr>
                <w:rFonts w:asciiTheme="majorHAnsi" w:eastAsia="Times New Roman" w:hAnsiTheme="majorHAnsi" w:cstheme="majorHAnsi"/>
                <w:bCs/>
                <w:color w:val="000000" w:themeColor="text1"/>
                <w:sz w:val="20"/>
                <w:szCs w:val="20"/>
                <w:lang w:eastAsia="ja-JP"/>
              </w:rPr>
              <w:t>mak doğru bir yaklaşım olabilir</w:t>
            </w:r>
            <w:r w:rsidR="00D42A0A" w:rsidRPr="00042FC4">
              <w:rPr>
                <w:rFonts w:asciiTheme="majorHAnsi" w:eastAsia="Times New Roman" w:hAnsiTheme="majorHAnsi" w:cstheme="majorHAnsi"/>
                <w:bCs/>
                <w:color w:val="000000" w:themeColor="text1"/>
                <w:sz w:val="20"/>
                <w:szCs w:val="20"/>
                <w:lang w:eastAsia="ja-JP"/>
              </w:rPr>
              <w:t xml:space="preserve"> </w:t>
            </w:r>
            <w:r w:rsidR="008D1D90" w:rsidRPr="00042FC4">
              <w:rPr>
                <w:rFonts w:asciiTheme="majorHAnsi" w:eastAsia="Times New Roman" w:hAnsiTheme="majorHAnsi" w:cstheme="majorHAnsi"/>
                <w:bCs/>
                <w:color w:val="000000" w:themeColor="text1"/>
                <w:sz w:val="20"/>
                <w:szCs w:val="20"/>
                <w:lang w:eastAsia="ja-JP"/>
              </w:rPr>
              <w:t>(Yatan hasta servisleri ile ilgili ek öneriler için Tablo 2A ya bakınız)</w:t>
            </w:r>
            <w:r w:rsidR="007E6E3B" w:rsidRPr="00042FC4">
              <w:rPr>
                <w:rFonts w:asciiTheme="majorHAnsi" w:eastAsia="Times New Roman" w:hAnsiTheme="majorHAnsi" w:cstheme="majorHAnsi"/>
                <w:bCs/>
                <w:color w:val="000000" w:themeColor="text1"/>
                <w:sz w:val="20"/>
                <w:szCs w:val="20"/>
                <w:lang w:eastAsia="ja-JP"/>
              </w:rPr>
              <w:t xml:space="preserve">. </w:t>
            </w:r>
          </w:p>
          <w:p w14:paraId="4C0726FC" w14:textId="496F7AAC" w:rsidR="004C2BFF" w:rsidRDefault="004C2BFF" w:rsidP="00BF7071">
            <w:pPr>
              <w:spacing w:before="8" w:after="8"/>
              <w:rPr>
                <w:rFonts w:asciiTheme="majorHAnsi" w:eastAsia="Times New Roman" w:hAnsiTheme="majorHAnsi" w:cstheme="majorHAnsi"/>
                <w:color w:val="000000" w:themeColor="text1"/>
                <w:sz w:val="20"/>
                <w:szCs w:val="20"/>
                <w:lang w:eastAsia="ja-JP"/>
              </w:rPr>
            </w:pPr>
          </w:p>
          <w:p w14:paraId="54C1EC41" w14:textId="0833FEF8" w:rsidR="004C2BFF" w:rsidRDefault="008D1D90" w:rsidP="00BF7071">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Klozapin başlanacak hastalarda,</w:t>
            </w:r>
            <w:r w:rsidR="00137C5F">
              <w:rPr>
                <w:rFonts w:asciiTheme="majorHAnsi" w:eastAsia="Times New Roman" w:hAnsiTheme="majorHAnsi" w:cstheme="majorHAnsi"/>
                <w:color w:val="000000" w:themeColor="text1"/>
                <w:sz w:val="20"/>
                <w:szCs w:val="20"/>
                <w:lang w:eastAsia="ja-JP"/>
              </w:rPr>
              <w:t xml:space="preserve"> </w:t>
            </w:r>
            <w:r w:rsidR="00137C5F" w:rsidRPr="007E6E3B">
              <w:rPr>
                <w:rFonts w:asciiTheme="majorHAnsi" w:eastAsia="Times New Roman" w:hAnsiTheme="majorHAnsi" w:cstheme="majorHAnsi"/>
                <w:color w:val="000000" w:themeColor="text1"/>
                <w:sz w:val="20"/>
                <w:szCs w:val="20"/>
                <w:lang w:eastAsia="ja-JP"/>
              </w:rPr>
              <w:t>tedavinin ilk 6 ayında</w:t>
            </w:r>
            <w:r w:rsidR="00137C5F">
              <w:rPr>
                <w:rFonts w:asciiTheme="majorHAnsi" w:eastAsia="Times New Roman" w:hAnsiTheme="majorHAnsi" w:cstheme="majorHAnsi"/>
                <w:color w:val="000000" w:themeColor="text1"/>
                <w:sz w:val="20"/>
                <w:szCs w:val="20"/>
                <w:lang w:eastAsia="ja-JP"/>
              </w:rPr>
              <w:t xml:space="preserve"> mutlak nötrofil sayısı takibi için mevcut ulusal protokollere uyulması önerilir.</w:t>
            </w:r>
          </w:p>
          <w:p w14:paraId="088FA280" w14:textId="77777777" w:rsidR="00D03757" w:rsidRDefault="00D03757" w:rsidP="00BF7071">
            <w:pPr>
              <w:spacing w:before="8" w:after="8"/>
              <w:rPr>
                <w:rFonts w:asciiTheme="majorHAnsi" w:eastAsia="Times New Roman" w:hAnsiTheme="majorHAnsi" w:cstheme="majorHAnsi"/>
                <w:color w:val="000000" w:themeColor="text1"/>
                <w:sz w:val="20"/>
                <w:szCs w:val="20"/>
                <w:lang w:eastAsia="ja-JP"/>
              </w:rPr>
            </w:pPr>
          </w:p>
          <w:p w14:paraId="0959AD98" w14:textId="10F1C85F" w:rsidR="00D03757" w:rsidRPr="007E6E3B" w:rsidRDefault="00D03757" w:rsidP="00BF7071">
            <w:pPr>
              <w:spacing w:before="8" w:after="8"/>
              <w:rPr>
                <w:rFonts w:asciiTheme="majorHAnsi" w:eastAsia="Times New Roman" w:hAnsiTheme="majorHAnsi" w:cstheme="majorHAnsi"/>
                <w:i/>
                <w:color w:val="000000" w:themeColor="text1"/>
                <w:sz w:val="20"/>
                <w:szCs w:val="20"/>
                <w:lang w:val="tr-TR" w:eastAsia="ja-JP"/>
              </w:rPr>
            </w:pPr>
            <w:r w:rsidRPr="007E6E3B">
              <w:rPr>
                <w:rFonts w:asciiTheme="majorHAnsi" w:eastAsia="Times New Roman" w:hAnsiTheme="majorHAnsi" w:cstheme="majorHAnsi"/>
                <w:i/>
                <w:color w:val="000000" w:themeColor="text1"/>
                <w:sz w:val="20"/>
                <w:szCs w:val="20"/>
                <w:lang w:eastAsia="ja-JP"/>
              </w:rPr>
              <w:t>(Türkiye’ de klozap</w:t>
            </w:r>
            <w:r w:rsidRPr="007E6E3B">
              <w:rPr>
                <w:rFonts w:asciiTheme="majorHAnsi" w:eastAsia="Times New Roman" w:hAnsiTheme="majorHAnsi" w:cstheme="majorHAnsi"/>
                <w:i/>
                <w:color w:val="000000" w:themeColor="text1"/>
                <w:sz w:val="20"/>
                <w:szCs w:val="20"/>
                <w:lang w:val="tr-TR" w:eastAsia="ja-JP"/>
              </w:rPr>
              <w:t xml:space="preserve">in takibi </w:t>
            </w:r>
            <w:r w:rsidR="00D732EA" w:rsidRPr="007E6E3B">
              <w:rPr>
                <w:rFonts w:asciiTheme="majorHAnsi" w:eastAsia="Times New Roman" w:hAnsiTheme="majorHAnsi" w:cstheme="majorHAnsi"/>
                <w:i/>
                <w:color w:val="000000" w:themeColor="text1"/>
                <w:sz w:val="20"/>
                <w:szCs w:val="20"/>
                <w:lang w:val="tr-TR" w:eastAsia="ja-JP"/>
              </w:rPr>
              <w:t>için ilacın başlandığı ilk 18 hafta içerisinde haftada bir, daha sonra ise 4 haftada bir</w:t>
            </w:r>
            <w:r w:rsidR="00646A2B" w:rsidRPr="007E6E3B">
              <w:rPr>
                <w:rFonts w:asciiTheme="majorHAnsi" w:eastAsia="Times New Roman" w:hAnsiTheme="majorHAnsi" w:cstheme="majorHAnsi"/>
                <w:i/>
                <w:color w:val="000000" w:themeColor="text1"/>
                <w:sz w:val="20"/>
                <w:szCs w:val="20"/>
                <w:lang w:val="tr-TR" w:eastAsia="ja-JP"/>
              </w:rPr>
              <w:t xml:space="preserve"> olmak koşuluyla lökosit ve mümkünse nötrofil sayımı yapılmaktadır.</w:t>
            </w:r>
            <w:r w:rsidR="00D732EA" w:rsidRPr="007E6E3B">
              <w:rPr>
                <w:rFonts w:asciiTheme="majorHAnsi" w:eastAsia="Times New Roman" w:hAnsiTheme="majorHAnsi" w:cstheme="majorHAnsi"/>
                <w:i/>
                <w:color w:val="000000" w:themeColor="text1"/>
                <w:sz w:val="20"/>
                <w:szCs w:val="20"/>
                <w:lang w:val="tr-TR" w:eastAsia="ja-JP"/>
              </w:rPr>
              <w:t>)</w:t>
            </w:r>
          </w:p>
          <w:p w14:paraId="20BEE944" w14:textId="61EE0F3F" w:rsidR="003332CE" w:rsidRPr="00547037" w:rsidRDefault="003332CE" w:rsidP="00936004">
            <w:pPr>
              <w:spacing w:before="8" w:after="8"/>
              <w:rPr>
                <w:rFonts w:asciiTheme="majorHAnsi" w:eastAsia="Times New Roman" w:hAnsiTheme="majorHAnsi" w:cstheme="majorHAnsi"/>
                <w:color w:val="000000" w:themeColor="text1"/>
                <w:sz w:val="20"/>
                <w:szCs w:val="20"/>
                <w:lang w:eastAsia="ja-JP"/>
              </w:rPr>
            </w:pPr>
          </w:p>
        </w:tc>
      </w:tr>
      <w:tr w:rsidR="00B04713" w:rsidRPr="00547037" w14:paraId="0AC97E27" w14:textId="77777777" w:rsidTr="00D54077">
        <w:tc>
          <w:tcPr>
            <w:tcW w:w="5000" w:type="pct"/>
            <w:gridSpan w:val="2"/>
            <w:tcBorders>
              <w:top w:val="nil"/>
              <w:left w:val="single" w:sz="48" w:space="0" w:color="E2F2FF"/>
              <w:bottom w:val="nil"/>
              <w:right w:val="single" w:sz="48" w:space="0" w:color="E2F2FF"/>
            </w:tcBorders>
            <w:shd w:val="clear" w:color="auto" w:fill="002147"/>
          </w:tcPr>
          <w:p w14:paraId="619501ED" w14:textId="7B7889E7" w:rsidR="00C134AF" w:rsidRPr="00547037" w:rsidRDefault="00F00004" w:rsidP="00936004">
            <w:pPr>
              <w:spacing w:before="8" w:after="8"/>
              <w:rPr>
                <w:rFonts w:asciiTheme="majorHAnsi" w:eastAsia="Times New Roman" w:hAnsiTheme="majorHAnsi" w:cstheme="majorHAnsi"/>
                <w:b/>
                <w:bCs/>
                <w:color w:val="000000" w:themeColor="text1"/>
                <w:sz w:val="20"/>
                <w:szCs w:val="20"/>
                <w:lang w:eastAsia="ja-JP"/>
              </w:rPr>
            </w:pPr>
            <w:r>
              <w:rPr>
                <w:rFonts w:asciiTheme="majorHAnsi" w:hAnsiTheme="majorHAnsi" w:cstheme="majorHAnsi"/>
                <w:b/>
                <w:bCs/>
                <w:sz w:val="20"/>
                <w:szCs w:val="20"/>
              </w:rPr>
              <w:t>Olası COVID-19 vakalarında Beyaz Küre Sayısı (WBC) ölçümü ve değerlendirilmesi</w:t>
            </w:r>
          </w:p>
        </w:tc>
      </w:tr>
      <w:tr w:rsidR="00B04713" w:rsidRPr="00547037" w14:paraId="531ABEF1" w14:textId="77777777" w:rsidTr="00957C88">
        <w:tc>
          <w:tcPr>
            <w:tcW w:w="1148" w:type="pct"/>
            <w:tcBorders>
              <w:top w:val="nil"/>
              <w:left w:val="single" w:sz="48" w:space="0" w:color="E2F2FF"/>
              <w:bottom w:val="nil"/>
              <w:right w:val="nil"/>
            </w:tcBorders>
          </w:tcPr>
          <w:p w14:paraId="7D152D3A" w14:textId="7FC2D353" w:rsidR="00137C5F" w:rsidRDefault="00137C5F" w:rsidP="00B04713">
            <w:pPr>
              <w:spacing w:before="8" w:after="8"/>
              <w:rPr>
                <w:rFonts w:asciiTheme="majorHAnsi" w:hAnsiTheme="majorHAnsi" w:cstheme="majorHAnsi"/>
                <w:b/>
                <w:bCs/>
                <w:sz w:val="20"/>
                <w:szCs w:val="20"/>
              </w:rPr>
            </w:pPr>
            <w:r>
              <w:rPr>
                <w:rFonts w:asciiTheme="majorHAnsi" w:hAnsiTheme="majorHAnsi" w:cstheme="majorHAnsi"/>
                <w:b/>
                <w:bCs/>
                <w:sz w:val="20"/>
                <w:szCs w:val="20"/>
              </w:rPr>
              <w:t>Klozapin kullanan hastalar enfeksiyon semptomları veya COVID-19 semptomları gösterirse ne yapmalıyım?</w:t>
            </w:r>
          </w:p>
          <w:p w14:paraId="4C01B7E1" w14:textId="77777777" w:rsidR="00137C5F" w:rsidRDefault="00137C5F" w:rsidP="00B04713">
            <w:pPr>
              <w:spacing w:before="8" w:after="8"/>
              <w:rPr>
                <w:rFonts w:asciiTheme="majorHAnsi" w:hAnsiTheme="majorHAnsi" w:cstheme="majorHAnsi"/>
                <w:b/>
                <w:bCs/>
                <w:sz w:val="20"/>
                <w:szCs w:val="20"/>
              </w:rPr>
            </w:pPr>
          </w:p>
          <w:p w14:paraId="2DB3A58F" w14:textId="78A70FA0" w:rsidR="008339A4" w:rsidRPr="00547037"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2"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1</w:t>
            </w:r>
            <w:r w:rsidRPr="00547037">
              <w:rPr>
                <w:rFonts w:asciiTheme="majorHAnsi" w:hAnsiTheme="majorHAnsi" w:cstheme="majorHAnsi"/>
                <w:sz w:val="20"/>
                <w:szCs w:val="20"/>
              </w:rPr>
              <w:t>]</w:t>
            </w:r>
          </w:p>
          <w:p w14:paraId="56667936" w14:textId="4487ED9E" w:rsidR="008339A4" w:rsidRPr="00547037"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3"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2</w:t>
            </w:r>
            <w:r w:rsidRPr="00547037">
              <w:rPr>
                <w:rFonts w:asciiTheme="majorHAnsi" w:hAnsiTheme="majorHAnsi" w:cstheme="majorHAnsi"/>
                <w:sz w:val="20"/>
                <w:szCs w:val="20"/>
              </w:rPr>
              <w:t>]</w:t>
            </w:r>
          </w:p>
          <w:p w14:paraId="07EABA2C" w14:textId="77777777" w:rsidR="008339A4" w:rsidRDefault="004C2BFF" w:rsidP="00B04713">
            <w:pPr>
              <w:spacing w:before="8" w:after="8"/>
              <w:rPr>
                <w:rFonts w:asciiTheme="majorHAnsi" w:eastAsia="Times New Roman" w:hAnsiTheme="majorHAnsi" w:cstheme="majorHAnsi"/>
                <w:color w:val="000000" w:themeColor="text1"/>
                <w:sz w:val="20"/>
                <w:szCs w:val="20"/>
                <w:lang w:eastAsia="ja-JP"/>
              </w:rPr>
            </w:pPr>
            <w:r w:rsidRPr="004C2BFF">
              <w:rPr>
                <w:rFonts w:asciiTheme="majorHAnsi" w:eastAsia="Times New Roman" w:hAnsiTheme="majorHAnsi" w:cstheme="majorHAnsi"/>
                <w:color w:val="000000" w:themeColor="text1"/>
                <w:sz w:val="20"/>
                <w:szCs w:val="20"/>
                <w:lang w:eastAsia="ja-JP"/>
              </w:rPr>
              <w:t>[</w:t>
            </w:r>
            <w:hyperlink r:id="rId14" w:history="1">
              <w:r w:rsidRPr="004C2BFF">
                <w:rPr>
                  <w:rStyle w:val="Hyperlink"/>
                  <w:rFonts w:asciiTheme="majorHAnsi" w:eastAsia="Times New Roman" w:hAnsiTheme="majorHAnsi" w:cstheme="majorHAnsi"/>
                  <w:sz w:val="20"/>
                  <w:szCs w:val="20"/>
                  <w:lang w:eastAsia="ja-JP"/>
                </w:rPr>
                <w:t>link5</w:t>
              </w:r>
            </w:hyperlink>
            <w:r w:rsidRPr="004C2BFF">
              <w:rPr>
                <w:rFonts w:asciiTheme="majorHAnsi" w:eastAsia="Times New Roman" w:hAnsiTheme="majorHAnsi" w:cstheme="majorHAnsi"/>
                <w:color w:val="000000" w:themeColor="text1"/>
                <w:sz w:val="20"/>
                <w:szCs w:val="20"/>
                <w:lang w:eastAsia="ja-JP"/>
              </w:rPr>
              <w:t>]</w:t>
            </w:r>
          </w:p>
          <w:p w14:paraId="7E300023" w14:textId="77777777" w:rsidR="00CB69F4" w:rsidRDefault="007C0A48" w:rsidP="00B04713">
            <w:pPr>
              <w:spacing w:before="8" w:after="8"/>
              <w:rPr>
                <w:rStyle w:val="Hyperlink"/>
                <w:rFonts w:asciiTheme="majorHAnsi" w:eastAsia="Times New Roman" w:hAnsiTheme="majorHAnsi" w:cstheme="majorHAnsi"/>
                <w:sz w:val="20"/>
                <w:szCs w:val="20"/>
                <w:lang w:eastAsia="ja-JP"/>
              </w:rPr>
            </w:pPr>
            <w:hyperlink r:id="rId15" w:history="1">
              <w:r w:rsidR="00CB69F4" w:rsidRPr="00CB69F4">
                <w:rPr>
                  <w:rStyle w:val="Hyperlink"/>
                  <w:rFonts w:asciiTheme="majorHAnsi" w:eastAsia="Times New Roman" w:hAnsiTheme="majorHAnsi" w:cstheme="majorHAnsi"/>
                  <w:sz w:val="20"/>
                  <w:szCs w:val="20"/>
                  <w:lang w:eastAsia="ja-JP"/>
                </w:rPr>
                <w:t>[link8]</w:t>
              </w:r>
            </w:hyperlink>
          </w:p>
          <w:p w14:paraId="6A12F055" w14:textId="3F013147" w:rsidR="00F237AB" w:rsidRPr="00F237AB" w:rsidRDefault="007C0A48" w:rsidP="00B04713">
            <w:pPr>
              <w:spacing w:before="8" w:after="8"/>
              <w:rPr>
                <w:rFonts w:asciiTheme="majorHAnsi" w:hAnsiTheme="majorHAnsi" w:cstheme="majorHAnsi"/>
                <w:b/>
                <w:bCs/>
                <w:sz w:val="20"/>
                <w:szCs w:val="20"/>
              </w:rPr>
            </w:pPr>
            <w:hyperlink r:id="rId16" w:history="1">
              <w:r w:rsidR="00F237AB" w:rsidRPr="00F237AB">
                <w:rPr>
                  <w:rStyle w:val="Hyperlink"/>
                  <w:rFonts w:asciiTheme="majorHAnsi" w:eastAsia="Times New Roman" w:hAnsiTheme="majorHAnsi" w:cstheme="majorHAnsi"/>
                  <w:sz w:val="20"/>
                  <w:szCs w:val="20"/>
                  <w:lang w:eastAsia="ja-JP"/>
                </w:rPr>
                <w:t>[link9]</w:t>
              </w:r>
            </w:hyperlink>
          </w:p>
        </w:tc>
        <w:tc>
          <w:tcPr>
            <w:tcW w:w="3852" w:type="pct"/>
            <w:tcBorders>
              <w:top w:val="nil"/>
              <w:left w:val="nil"/>
              <w:bottom w:val="nil"/>
              <w:right w:val="single" w:sz="48" w:space="0" w:color="E2F2FF"/>
            </w:tcBorders>
          </w:tcPr>
          <w:p w14:paraId="74E2BAF3" w14:textId="3227732F" w:rsidR="00A65603" w:rsidRPr="00042FC4" w:rsidRDefault="00A65603" w:rsidP="00B625F8">
            <w:pPr>
              <w:spacing w:before="8" w:after="8"/>
              <w:rPr>
                <w:rFonts w:asciiTheme="majorHAnsi" w:eastAsia="Times New Roman" w:hAnsiTheme="majorHAnsi" w:cstheme="majorHAnsi"/>
                <w:b/>
                <w:color w:val="000000" w:themeColor="text1"/>
                <w:sz w:val="20"/>
                <w:szCs w:val="20"/>
                <w:lang w:eastAsia="ja-JP"/>
              </w:rPr>
            </w:pPr>
            <w:r w:rsidRPr="00042FC4">
              <w:rPr>
                <w:rFonts w:asciiTheme="majorHAnsi" w:eastAsia="Times New Roman" w:hAnsiTheme="majorHAnsi" w:cstheme="majorHAnsi"/>
                <w:b/>
                <w:color w:val="000000" w:themeColor="text1"/>
                <w:sz w:val="20"/>
                <w:szCs w:val="20"/>
                <w:lang w:eastAsia="ja-JP"/>
              </w:rPr>
              <w:lastRenderedPageBreak/>
              <w:t xml:space="preserve">COVID-19 benzeri semptomların nötropeni ile ilişkili insidental (COVID-19 dışı) enfeksiyonlara </w:t>
            </w:r>
            <w:r w:rsidR="00F00004" w:rsidRPr="00042FC4">
              <w:rPr>
                <w:rFonts w:asciiTheme="majorHAnsi" w:eastAsia="Times New Roman" w:hAnsiTheme="majorHAnsi" w:cstheme="majorHAnsi"/>
                <w:b/>
                <w:color w:val="000000" w:themeColor="text1"/>
                <w:sz w:val="20"/>
                <w:szCs w:val="20"/>
                <w:lang w:eastAsia="ja-JP"/>
              </w:rPr>
              <w:t>bağlı olarak da ortaya çıkabilec</w:t>
            </w:r>
            <w:r w:rsidRPr="00042FC4">
              <w:rPr>
                <w:rFonts w:asciiTheme="majorHAnsi" w:eastAsia="Times New Roman" w:hAnsiTheme="majorHAnsi" w:cstheme="majorHAnsi"/>
                <w:b/>
                <w:color w:val="000000" w:themeColor="text1"/>
                <w:sz w:val="20"/>
                <w:szCs w:val="20"/>
                <w:lang w:eastAsia="ja-JP"/>
              </w:rPr>
              <w:t xml:space="preserve">eğini unutmayın. </w:t>
            </w:r>
          </w:p>
          <w:p w14:paraId="2AD7B8C3" w14:textId="77777777" w:rsidR="00B625F8" w:rsidRDefault="00B625F8" w:rsidP="00B625F8">
            <w:pPr>
              <w:spacing w:before="8" w:after="8"/>
              <w:rPr>
                <w:rFonts w:asciiTheme="majorHAnsi" w:eastAsia="Times New Roman" w:hAnsiTheme="majorHAnsi" w:cstheme="majorHAnsi"/>
                <w:color w:val="000000" w:themeColor="text1"/>
                <w:sz w:val="20"/>
                <w:szCs w:val="20"/>
                <w:lang w:eastAsia="ja-JP"/>
              </w:rPr>
            </w:pPr>
          </w:p>
          <w:p w14:paraId="309512B8" w14:textId="5BAF4C59" w:rsidR="00A65603" w:rsidRPr="00B625F8" w:rsidRDefault="00A65603" w:rsidP="00B625F8">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 xml:space="preserve">Klozapin kullanan ve ateş, boğaz ağrısı, grip benzeri semptomlar gibi enfeksiyon semptomları olan hastalarda </w:t>
            </w:r>
            <w:r w:rsidRPr="00042FC4">
              <w:rPr>
                <w:rFonts w:asciiTheme="majorHAnsi" w:eastAsia="Times New Roman" w:hAnsiTheme="majorHAnsi" w:cstheme="majorHAnsi"/>
                <w:b/>
                <w:color w:val="000000" w:themeColor="text1"/>
                <w:sz w:val="20"/>
                <w:szCs w:val="20"/>
                <w:lang w:eastAsia="ja-JP"/>
              </w:rPr>
              <w:t>acil nötrofil sayımı</w:t>
            </w:r>
            <w:r>
              <w:rPr>
                <w:rFonts w:asciiTheme="majorHAnsi" w:eastAsia="Times New Roman" w:hAnsiTheme="majorHAnsi" w:cstheme="majorHAnsi"/>
                <w:color w:val="000000" w:themeColor="text1"/>
                <w:sz w:val="20"/>
                <w:szCs w:val="20"/>
                <w:lang w:eastAsia="ja-JP"/>
              </w:rPr>
              <w:t xml:space="preserve"> </w:t>
            </w:r>
            <w:r w:rsidR="00F00004">
              <w:rPr>
                <w:rFonts w:asciiTheme="majorHAnsi" w:eastAsia="Times New Roman" w:hAnsiTheme="majorHAnsi" w:cstheme="majorHAnsi"/>
                <w:color w:val="000000" w:themeColor="text1"/>
                <w:sz w:val="20"/>
                <w:szCs w:val="20"/>
                <w:lang w:eastAsia="ja-JP"/>
              </w:rPr>
              <w:t>önerilir</w:t>
            </w:r>
            <w:r w:rsidR="003F7DA1">
              <w:rPr>
                <w:rFonts w:asciiTheme="majorHAnsi" w:eastAsia="Times New Roman" w:hAnsiTheme="majorHAnsi" w:cstheme="majorHAnsi"/>
                <w:color w:val="000000" w:themeColor="text1"/>
                <w:sz w:val="20"/>
                <w:szCs w:val="20"/>
                <w:lang w:eastAsia="ja-JP"/>
              </w:rPr>
              <w:t>.</w:t>
            </w:r>
            <w:r w:rsidR="00F00004">
              <w:rPr>
                <w:rFonts w:asciiTheme="majorHAnsi" w:eastAsia="Times New Roman" w:hAnsiTheme="majorHAnsi" w:cstheme="majorHAnsi"/>
                <w:color w:val="000000" w:themeColor="text1"/>
                <w:sz w:val="20"/>
                <w:szCs w:val="20"/>
                <w:lang w:eastAsia="ja-JP"/>
              </w:rPr>
              <w:t xml:space="preserve"> </w:t>
            </w:r>
            <w:r>
              <w:rPr>
                <w:rFonts w:asciiTheme="majorHAnsi" w:eastAsia="Times New Roman" w:hAnsiTheme="majorHAnsi" w:cstheme="majorHAnsi"/>
                <w:color w:val="000000" w:themeColor="text1"/>
                <w:sz w:val="20"/>
                <w:szCs w:val="20"/>
                <w:lang w:eastAsia="ja-JP"/>
              </w:rPr>
              <w:t>(Hastalara kan sonuçları çıkana kadar klozapin kullanımını askıya almaları söylenebilir. Bu kan tetkikleri yapılmadan klozapin kullanımına devam edilmesi lisans dışı kullanıma girer.)</w:t>
            </w:r>
          </w:p>
          <w:p w14:paraId="1DCEDAD1" w14:textId="0A933C62" w:rsidR="00CC4410" w:rsidRDefault="00CC4410" w:rsidP="00936004">
            <w:pPr>
              <w:spacing w:before="8" w:after="8"/>
              <w:rPr>
                <w:rFonts w:asciiTheme="majorHAnsi" w:eastAsia="Times New Roman" w:hAnsiTheme="majorHAnsi" w:cstheme="majorHAnsi"/>
                <w:color w:val="000000" w:themeColor="text1"/>
                <w:sz w:val="20"/>
                <w:szCs w:val="20"/>
                <w:lang w:eastAsia="ja-JP"/>
              </w:rPr>
            </w:pPr>
          </w:p>
          <w:p w14:paraId="72CC6813" w14:textId="5E6E8513" w:rsidR="00936004" w:rsidRPr="00CC4410" w:rsidRDefault="00025A1C" w:rsidP="00936004">
            <w:pPr>
              <w:spacing w:before="8" w:after="8"/>
              <w:rPr>
                <w:rFonts w:asciiTheme="majorHAnsi" w:eastAsia="Times New Roman" w:hAnsiTheme="majorHAnsi" w:cstheme="majorHAnsi"/>
                <w:sz w:val="20"/>
                <w:szCs w:val="20"/>
                <w:lang w:eastAsia="ja-JP"/>
              </w:rPr>
            </w:pPr>
            <w:r w:rsidRPr="00042FC4">
              <w:rPr>
                <w:rFonts w:asciiTheme="majorHAnsi" w:eastAsia="Times New Roman" w:hAnsiTheme="majorHAnsi" w:cstheme="majorHAnsi"/>
                <w:b/>
                <w:color w:val="000000" w:themeColor="text1"/>
                <w:sz w:val="20"/>
                <w:szCs w:val="20"/>
                <w:lang w:eastAsia="ja-JP"/>
              </w:rPr>
              <w:lastRenderedPageBreak/>
              <w:t>Klozapin monitorizasyon protokolleri ile ilgili y</w:t>
            </w:r>
            <w:r w:rsidR="00A65603" w:rsidRPr="00042FC4">
              <w:rPr>
                <w:rFonts w:asciiTheme="majorHAnsi" w:eastAsia="Times New Roman" w:hAnsiTheme="majorHAnsi" w:cstheme="majorHAnsi"/>
                <w:b/>
                <w:color w:val="000000" w:themeColor="text1"/>
                <w:sz w:val="20"/>
                <w:szCs w:val="20"/>
                <w:lang w:eastAsia="ja-JP"/>
              </w:rPr>
              <w:t>erel kılavuzlara başvurun</w:t>
            </w:r>
            <w:r w:rsidR="00A65603">
              <w:rPr>
                <w:rFonts w:asciiTheme="majorHAnsi" w:eastAsia="Times New Roman" w:hAnsiTheme="majorHAnsi" w:cstheme="majorHAnsi"/>
                <w:color w:val="000000" w:themeColor="text1"/>
                <w:sz w:val="20"/>
                <w:szCs w:val="20"/>
                <w:lang w:eastAsia="ja-JP"/>
              </w:rPr>
              <w:t xml:space="preserve"> </w:t>
            </w:r>
            <w:r w:rsidR="00A65603" w:rsidRPr="000A24EB">
              <w:rPr>
                <w:rFonts w:asciiTheme="majorHAnsi" w:eastAsia="Times New Roman" w:hAnsiTheme="majorHAnsi" w:cstheme="majorHAnsi"/>
                <w:color w:val="000000" w:themeColor="text1"/>
                <w:sz w:val="20"/>
                <w:szCs w:val="20"/>
                <w:lang w:eastAsia="ja-JP"/>
              </w:rPr>
              <w:t>(</w:t>
            </w:r>
            <w:r w:rsidR="000A24EB" w:rsidRPr="000A24EB">
              <w:rPr>
                <w:rFonts w:asciiTheme="majorHAnsi" w:eastAsia="Times New Roman" w:hAnsiTheme="majorHAnsi" w:cstheme="majorHAnsi"/>
                <w:color w:val="000000" w:themeColor="text1"/>
                <w:sz w:val="20"/>
                <w:szCs w:val="20"/>
                <w:lang w:eastAsia="ja-JP"/>
              </w:rPr>
              <w:t xml:space="preserve">örneğin, </w:t>
            </w:r>
            <w:r w:rsidR="00A65603" w:rsidRPr="000A24EB">
              <w:rPr>
                <w:rFonts w:asciiTheme="majorHAnsi" w:eastAsia="Times New Roman" w:hAnsiTheme="majorHAnsi" w:cstheme="majorHAnsi"/>
                <w:color w:val="000000" w:themeColor="text1"/>
                <w:sz w:val="20"/>
                <w:szCs w:val="20"/>
                <w:lang w:eastAsia="ja-JP"/>
              </w:rPr>
              <w:t>Oxford Health NHS Trust’ ın klinisyen kılavuzları için</w:t>
            </w:r>
            <w:r w:rsidR="000A24EB" w:rsidRPr="000A24EB">
              <w:rPr>
                <w:rFonts w:asciiTheme="majorHAnsi" w:eastAsia="Times New Roman" w:hAnsiTheme="majorHAnsi" w:cstheme="majorHAnsi"/>
                <w:color w:val="000000" w:themeColor="text1"/>
                <w:sz w:val="20"/>
                <w:szCs w:val="20"/>
                <w:lang w:eastAsia="ja-JP"/>
              </w:rPr>
              <w:t xml:space="preserve"> bağlantıya </w:t>
            </w:r>
            <w:hyperlink r:id="rId17" w:history="1">
              <w:r w:rsidR="000A24EB" w:rsidRPr="000A24EB">
                <w:rPr>
                  <w:rStyle w:val="Hyperlink"/>
                  <w:rFonts w:asciiTheme="majorHAnsi" w:eastAsia="Times New Roman" w:hAnsiTheme="majorHAnsi" w:cstheme="majorHAnsi"/>
                  <w:sz w:val="20"/>
                  <w:szCs w:val="20"/>
                  <w:lang w:eastAsia="ja-JP"/>
                </w:rPr>
                <w:t>tıklayınız</w:t>
              </w:r>
            </w:hyperlink>
            <w:r w:rsidR="00A65603" w:rsidRPr="000A24EB">
              <w:rPr>
                <w:rFonts w:asciiTheme="majorHAnsi" w:eastAsia="Times New Roman" w:hAnsiTheme="majorHAnsi" w:cstheme="majorHAnsi"/>
                <w:color w:val="000000" w:themeColor="text1"/>
                <w:sz w:val="20"/>
                <w:szCs w:val="20"/>
                <w:lang w:eastAsia="ja-JP"/>
              </w:rPr>
              <w:t>)</w:t>
            </w:r>
          </w:p>
          <w:p w14:paraId="3119BD43" w14:textId="0498E37F" w:rsidR="00936004" w:rsidRDefault="00936004" w:rsidP="00936004">
            <w:pPr>
              <w:spacing w:before="8" w:after="8"/>
              <w:rPr>
                <w:rFonts w:asciiTheme="majorHAnsi" w:eastAsia="Times New Roman" w:hAnsiTheme="majorHAnsi" w:cstheme="majorHAnsi"/>
                <w:sz w:val="20"/>
                <w:szCs w:val="20"/>
                <w:lang w:eastAsia="ja-JP"/>
              </w:rPr>
            </w:pPr>
          </w:p>
          <w:p w14:paraId="718881B5" w14:textId="77777777" w:rsidR="009747AA" w:rsidRDefault="00AC3020" w:rsidP="00AA0F41">
            <w:pPr>
              <w:spacing w:before="8" w:after="8"/>
              <w:rPr>
                <w:rFonts w:asciiTheme="majorHAnsi" w:eastAsia="Times New Roman" w:hAnsiTheme="majorHAnsi" w:cstheme="majorHAnsi"/>
                <w:sz w:val="20"/>
                <w:szCs w:val="20"/>
                <w:lang w:eastAsia="ja-JP"/>
              </w:rPr>
            </w:pPr>
            <w:r>
              <w:rPr>
                <w:rFonts w:asciiTheme="majorHAnsi" w:eastAsia="Times New Roman" w:hAnsiTheme="majorHAnsi" w:cstheme="majorHAnsi"/>
                <w:sz w:val="20"/>
                <w:szCs w:val="20"/>
                <w:lang w:eastAsia="ja-JP"/>
              </w:rPr>
              <w:t>Doktor tarafından acil değerlendirme, i</w:t>
            </w:r>
            <w:r w:rsidR="00B90A1B">
              <w:rPr>
                <w:rFonts w:asciiTheme="majorHAnsi" w:eastAsia="Times New Roman" w:hAnsiTheme="majorHAnsi" w:cstheme="majorHAnsi"/>
                <w:sz w:val="20"/>
                <w:szCs w:val="20"/>
                <w:lang w:eastAsia="ja-JP"/>
              </w:rPr>
              <w:t xml:space="preserve">lgili yerel protokollere göre yüzyüze veya telesağlık hizmeti aracılığıyla </w:t>
            </w:r>
            <w:r>
              <w:rPr>
                <w:rFonts w:asciiTheme="majorHAnsi" w:eastAsia="Times New Roman" w:hAnsiTheme="majorHAnsi" w:cstheme="majorHAnsi"/>
                <w:sz w:val="20"/>
                <w:szCs w:val="20"/>
                <w:lang w:eastAsia="ja-JP"/>
              </w:rPr>
              <w:t>gerçekleştirilebilir.</w:t>
            </w:r>
          </w:p>
          <w:p w14:paraId="165C051A" w14:textId="77777777" w:rsidR="009747AA" w:rsidRDefault="009747AA" w:rsidP="00AA0F41">
            <w:pPr>
              <w:spacing w:before="8" w:after="8"/>
              <w:rPr>
                <w:rFonts w:asciiTheme="majorHAnsi" w:eastAsia="Times New Roman" w:hAnsiTheme="majorHAnsi" w:cstheme="majorHAnsi"/>
                <w:sz w:val="20"/>
                <w:szCs w:val="20"/>
                <w:lang w:eastAsia="ja-JP"/>
              </w:rPr>
            </w:pPr>
          </w:p>
          <w:p w14:paraId="43D41D80" w14:textId="3E8D8C4A" w:rsidR="008D24EC" w:rsidRDefault="008D24EC" w:rsidP="004C2BFF">
            <w:pPr>
              <w:spacing w:before="8" w:after="8"/>
              <w:rPr>
                <w:rFonts w:asciiTheme="majorHAnsi" w:eastAsia="Times New Roman" w:hAnsiTheme="majorHAnsi" w:cstheme="majorHAnsi"/>
                <w:sz w:val="20"/>
                <w:szCs w:val="20"/>
                <w:lang w:eastAsia="ja-JP"/>
              </w:rPr>
            </w:pPr>
            <w:r>
              <w:rPr>
                <w:rFonts w:asciiTheme="majorHAnsi" w:eastAsia="Times New Roman" w:hAnsiTheme="majorHAnsi" w:cstheme="majorHAnsi"/>
                <w:sz w:val="20"/>
                <w:szCs w:val="20"/>
                <w:lang w:eastAsia="ja-JP"/>
              </w:rPr>
              <w:t>Eğer klozapin kullanan hasta ateş ve grip-benzeri semptomlar gösterirse, klozapin toksisitesi belirti</w:t>
            </w:r>
            <w:r w:rsidR="0079270C">
              <w:rPr>
                <w:rFonts w:asciiTheme="majorHAnsi" w:eastAsia="Times New Roman" w:hAnsiTheme="majorHAnsi" w:cstheme="majorHAnsi"/>
                <w:sz w:val="20"/>
                <w:szCs w:val="20"/>
                <w:lang w:eastAsia="ja-JP"/>
              </w:rPr>
              <w:t xml:space="preserve"> ve bulgularının ortaya çıkması </w:t>
            </w:r>
            <w:r>
              <w:rPr>
                <w:rFonts w:asciiTheme="majorHAnsi" w:eastAsia="Times New Roman" w:hAnsiTheme="majorHAnsi" w:cstheme="majorHAnsi"/>
                <w:sz w:val="20"/>
                <w:szCs w:val="20"/>
                <w:lang w:eastAsia="ja-JP"/>
              </w:rPr>
              <w:t>klinisyenlerin klozapin dozunu düş</w:t>
            </w:r>
            <w:r w:rsidR="00BE2645">
              <w:rPr>
                <w:rFonts w:asciiTheme="majorHAnsi" w:eastAsia="Times New Roman" w:hAnsiTheme="majorHAnsi" w:cstheme="majorHAnsi"/>
                <w:sz w:val="20"/>
                <w:szCs w:val="20"/>
                <w:lang w:eastAsia="ja-JP"/>
              </w:rPr>
              <w:t>ür</w:t>
            </w:r>
            <w:r>
              <w:rPr>
                <w:rFonts w:asciiTheme="majorHAnsi" w:eastAsia="Times New Roman" w:hAnsiTheme="majorHAnsi" w:cstheme="majorHAnsi"/>
                <w:sz w:val="20"/>
                <w:szCs w:val="20"/>
                <w:lang w:eastAsia="ja-JP"/>
              </w:rPr>
              <w:t>melerini gerektirebilir. Ate</w:t>
            </w:r>
            <w:r w:rsidR="003F7DA1">
              <w:rPr>
                <w:rFonts w:asciiTheme="majorHAnsi" w:eastAsia="Times New Roman" w:hAnsiTheme="majorHAnsi" w:cstheme="majorHAnsi"/>
                <w:sz w:val="20"/>
                <w:szCs w:val="20"/>
                <w:lang w:eastAsia="ja-JP"/>
              </w:rPr>
              <w:t>ş düştükten sonraki 3 gün boyunca</w:t>
            </w:r>
            <w:r>
              <w:rPr>
                <w:rFonts w:asciiTheme="majorHAnsi" w:eastAsia="Times New Roman" w:hAnsiTheme="majorHAnsi" w:cstheme="majorHAnsi"/>
                <w:sz w:val="20"/>
                <w:szCs w:val="20"/>
                <w:lang w:eastAsia="ja-JP"/>
              </w:rPr>
              <w:t xml:space="preserve"> düşük doz</w:t>
            </w:r>
            <w:r w:rsidR="003F7DA1">
              <w:rPr>
                <w:rFonts w:asciiTheme="majorHAnsi" w:eastAsia="Times New Roman" w:hAnsiTheme="majorHAnsi" w:cstheme="majorHAnsi"/>
                <w:sz w:val="20"/>
                <w:szCs w:val="20"/>
                <w:lang w:eastAsia="ja-JP"/>
              </w:rPr>
              <w:t>d</w:t>
            </w:r>
            <w:r>
              <w:rPr>
                <w:rFonts w:asciiTheme="majorHAnsi" w:eastAsia="Times New Roman" w:hAnsiTheme="majorHAnsi" w:cstheme="majorHAnsi"/>
                <w:sz w:val="20"/>
                <w:szCs w:val="20"/>
                <w:lang w:eastAsia="ja-JP"/>
              </w:rPr>
              <w:t>a devam edin, sonrasında klozapin dozunu kademeli bir şe</w:t>
            </w:r>
            <w:r w:rsidR="003F7DA1">
              <w:rPr>
                <w:rFonts w:asciiTheme="majorHAnsi" w:eastAsia="Times New Roman" w:hAnsiTheme="majorHAnsi" w:cstheme="majorHAnsi"/>
                <w:sz w:val="20"/>
                <w:szCs w:val="20"/>
                <w:lang w:eastAsia="ja-JP"/>
              </w:rPr>
              <w:t>kilde ateş öncesi dönemdeki doz</w:t>
            </w:r>
            <w:r>
              <w:rPr>
                <w:rFonts w:asciiTheme="majorHAnsi" w:eastAsia="Times New Roman" w:hAnsiTheme="majorHAnsi" w:cstheme="majorHAnsi"/>
                <w:sz w:val="20"/>
                <w:szCs w:val="20"/>
                <w:lang w:eastAsia="ja-JP"/>
              </w:rPr>
              <w:t>a yükseltin.</w:t>
            </w:r>
            <w:r w:rsidR="003F7DA1">
              <w:rPr>
                <w:rFonts w:asciiTheme="majorHAnsi" w:eastAsia="Times New Roman" w:hAnsiTheme="majorHAnsi" w:cstheme="majorHAnsi"/>
                <w:sz w:val="20"/>
                <w:szCs w:val="20"/>
                <w:lang w:eastAsia="ja-JP"/>
              </w:rPr>
              <w:t xml:space="preserve"> Ö</w:t>
            </w:r>
            <w:r w:rsidR="00AA0F41">
              <w:rPr>
                <w:rFonts w:asciiTheme="majorHAnsi" w:eastAsia="Times New Roman" w:hAnsiTheme="majorHAnsi" w:cstheme="majorHAnsi"/>
                <w:sz w:val="20"/>
                <w:szCs w:val="20"/>
                <w:lang w:eastAsia="ja-JP"/>
              </w:rPr>
              <w:t xml:space="preserve">zellikle belirli bir doz değişikliğinden sonra, yetersiz yanıt </w:t>
            </w:r>
            <w:r w:rsidR="003F7DA1">
              <w:rPr>
                <w:rFonts w:asciiTheme="majorHAnsi" w:eastAsia="Times New Roman" w:hAnsiTheme="majorHAnsi" w:cstheme="majorHAnsi"/>
                <w:sz w:val="20"/>
                <w:szCs w:val="20"/>
                <w:lang w:eastAsia="ja-JP"/>
              </w:rPr>
              <w:t xml:space="preserve">alınması </w:t>
            </w:r>
            <w:r w:rsidR="00AA0F41">
              <w:rPr>
                <w:rFonts w:asciiTheme="majorHAnsi" w:eastAsia="Times New Roman" w:hAnsiTheme="majorHAnsi" w:cstheme="majorHAnsi"/>
                <w:sz w:val="20"/>
                <w:szCs w:val="20"/>
                <w:lang w:eastAsia="ja-JP"/>
              </w:rPr>
              <w:t xml:space="preserve">veya beklenmedik yan etkiler </w:t>
            </w:r>
            <w:r w:rsidR="003F7DA1">
              <w:rPr>
                <w:rFonts w:asciiTheme="majorHAnsi" w:eastAsia="Times New Roman" w:hAnsiTheme="majorHAnsi" w:cstheme="majorHAnsi"/>
                <w:sz w:val="20"/>
                <w:szCs w:val="20"/>
                <w:lang w:eastAsia="ja-JP"/>
              </w:rPr>
              <w:t>gelişmesi halinde mümkünse klozapin kan düzeyine bakılması klinik karar</w:t>
            </w:r>
            <w:r w:rsidR="00AA0F41">
              <w:rPr>
                <w:rFonts w:asciiTheme="majorHAnsi" w:eastAsia="Times New Roman" w:hAnsiTheme="majorHAnsi" w:cstheme="majorHAnsi"/>
                <w:sz w:val="20"/>
                <w:szCs w:val="20"/>
                <w:lang w:eastAsia="ja-JP"/>
              </w:rPr>
              <w:t xml:space="preserve"> al</w:t>
            </w:r>
            <w:r w:rsidR="003F7DA1">
              <w:rPr>
                <w:rFonts w:asciiTheme="majorHAnsi" w:eastAsia="Times New Roman" w:hAnsiTheme="majorHAnsi" w:cstheme="majorHAnsi"/>
                <w:sz w:val="20"/>
                <w:szCs w:val="20"/>
                <w:lang w:eastAsia="ja-JP"/>
              </w:rPr>
              <w:t>ma süreçlerine yardımcı olacaktır</w:t>
            </w:r>
            <w:r w:rsidR="00AA0F41">
              <w:rPr>
                <w:rFonts w:asciiTheme="majorHAnsi" w:eastAsia="Times New Roman" w:hAnsiTheme="majorHAnsi" w:cstheme="majorHAnsi"/>
                <w:sz w:val="20"/>
                <w:szCs w:val="20"/>
                <w:lang w:eastAsia="ja-JP"/>
              </w:rPr>
              <w:t xml:space="preserve">. </w:t>
            </w:r>
          </w:p>
          <w:p w14:paraId="45E0F8CF" w14:textId="77777777" w:rsidR="003F7DA1" w:rsidRDefault="003F7DA1" w:rsidP="004C2BFF">
            <w:pPr>
              <w:spacing w:before="8" w:after="8"/>
              <w:rPr>
                <w:rFonts w:asciiTheme="majorHAnsi" w:eastAsia="Times New Roman" w:hAnsiTheme="majorHAnsi" w:cstheme="majorHAnsi"/>
                <w:sz w:val="20"/>
                <w:szCs w:val="20"/>
                <w:lang w:eastAsia="ja-JP"/>
              </w:rPr>
            </w:pPr>
          </w:p>
          <w:p w14:paraId="785C44D1" w14:textId="64597D35" w:rsidR="004C2BFF" w:rsidRDefault="00AA0F41" w:rsidP="004C2BFF">
            <w:pPr>
              <w:spacing w:before="8" w:after="8"/>
              <w:rPr>
                <w:rFonts w:asciiTheme="majorHAnsi" w:eastAsia="Times New Roman" w:hAnsiTheme="majorHAnsi" w:cstheme="majorHAnsi"/>
                <w:sz w:val="20"/>
                <w:szCs w:val="20"/>
                <w:lang w:eastAsia="ja-JP"/>
              </w:rPr>
            </w:pPr>
            <w:r>
              <w:rPr>
                <w:rFonts w:asciiTheme="majorHAnsi" w:eastAsia="Times New Roman" w:hAnsiTheme="majorHAnsi" w:cstheme="majorHAnsi"/>
                <w:sz w:val="20"/>
                <w:szCs w:val="20"/>
                <w:lang w:eastAsia="ja-JP"/>
              </w:rPr>
              <w:t>Klozapin dozu ve monitorizasyonu ile ilgili her türlü değişiklik kararı hasta ve ailesine/bakım</w:t>
            </w:r>
            <w:r w:rsidR="003F7DA1">
              <w:rPr>
                <w:rFonts w:asciiTheme="majorHAnsi" w:eastAsia="Times New Roman" w:hAnsiTheme="majorHAnsi" w:cstheme="majorHAnsi"/>
                <w:sz w:val="20"/>
                <w:szCs w:val="20"/>
                <w:lang w:eastAsia="ja-JP"/>
              </w:rPr>
              <w:t xml:space="preserve"> verenlerine bilgi verip danış</w:t>
            </w:r>
            <w:r>
              <w:rPr>
                <w:rFonts w:asciiTheme="majorHAnsi" w:eastAsia="Times New Roman" w:hAnsiTheme="majorHAnsi" w:cstheme="majorHAnsi"/>
                <w:sz w:val="20"/>
                <w:szCs w:val="20"/>
                <w:lang w:eastAsia="ja-JP"/>
              </w:rPr>
              <w:t>arak ve bu süreçleri iyi bir şekilde kayıt altına alarak yapılmalıdır.</w:t>
            </w:r>
          </w:p>
          <w:p w14:paraId="42E967E0" w14:textId="77777777" w:rsidR="0006292C" w:rsidRDefault="0006292C" w:rsidP="004C2BFF">
            <w:pPr>
              <w:spacing w:before="8" w:after="8"/>
              <w:rPr>
                <w:rFonts w:asciiTheme="majorHAnsi" w:eastAsia="Times New Roman" w:hAnsiTheme="majorHAnsi" w:cstheme="majorHAnsi"/>
                <w:sz w:val="20"/>
                <w:szCs w:val="20"/>
                <w:lang w:eastAsia="ja-JP"/>
              </w:rPr>
            </w:pPr>
          </w:p>
          <w:p w14:paraId="0A5EB61B" w14:textId="37932224" w:rsidR="00CC4410" w:rsidRDefault="003F7DA1" w:rsidP="00936004">
            <w:pPr>
              <w:spacing w:before="8" w:after="8"/>
              <w:rPr>
                <w:rFonts w:asciiTheme="majorHAnsi" w:eastAsia="Times New Roman" w:hAnsiTheme="majorHAnsi" w:cstheme="majorHAnsi"/>
                <w:b/>
                <w:sz w:val="20"/>
                <w:szCs w:val="20"/>
                <w:lang w:eastAsia="ja-JP"/>
              </w:rPr>
            </w:pPr>
            <w:r w:rsidRPr="00042FC4">
              <w:rPr>
                <w:rFonts w:asciiTheme="majorHAnsi" w:eastAsia="Times New Roman" w:hAnsiTheme="majorHAnsi" w:cstheme="majorHAnsi"/>
                <w:b/>
                <w:sz w:val="20"/>
                <w:szCs w:val="20"/>
                <w:lang w:eastAsia="ja-JP"/>
              </w:rPr>
              <w:t xml:space="preserve">Hastaların </w:t>
            </w:r>
            <w:r w:rsidR="00AA0F41" w:rsidRPr="00042FC4">
              <w:rPr>
                <w:rFonts w:asciiTheme="majorHAnsi" w:eastAsia="Times New Roman" w:hAnsiTheme="majorHAnsi" w:cstheme="majorHAnsi"/>
                <w:b/>
                <w:sz w:val="20"/>
                <w:szCs w:val="20"/>
                <w:lang w:eastAsia="ja-JP"/>
              </w:rPr>
              <w:t>yeterli şek</w:t>
            </w:r>
            <w:r w:rsidR="0006292C" w:rsidRPr="00042FC4">
              <w:rPr>
                <w:rFonts w:asciiTheme="majorHAnsi" w:eastAsia="Times New Roman" w:hAnsiTheme="majorHAnsi" w:cstheme="majorHAnsi"/>
                <w:b/>
                <w:sz w:val="20"/>
                <w:szCs w:val="20"/>
                <w:lang w:eastAsia="ja-JP"/>
              </w:rPr>
              <w:t>ilde bilgilendirildiğinden ve gerekli</w:t>
            </w:r>
            <w:r w:rsidR="00042FC4">
              <w:rPr>
                <w:rFonts w:asciiTheme="majorHAnsi" w:eastAsia="Times New Roman" w:hAnsiTheme="majorHAnsi" w:cstheme="majorHAnsi"/>
                <w:b/>
                <w:sz w:val="20"/>
                <w:szCs w:val="20"/>
                <w:lang w:eastAsia="ja-JP"/>
              </w:rPr>
              <w:t xml:space="preserve"> bilgi kaynaklarına</w:t>
            </w:r>
            <w:r w:rsidR="00AA0F41" w:rsidRPr="00042FC4">
              <w:rPr>
                <w:rFonts w:asciiTheme="majorHAnsi" w:eastAsia="Times New Roman" w:hAnsiTheme="majorHAnsi" w:cstheme="majorHAnsi"/>
                <w:b/>
                <w:sz w:val="20"/>
                <w:szCs w:val="20"/>
                <w:lang w:eastAsia="ja-JP"/>
              </w:rPr>
              <w:t xml:space="preserve"> erişim sağlayabildiğinden emin olun</w:t>
            </w:r>
            <w:r w:rsidRPr="00042FC4">
              <w:rPr>
                <w:rFonts w:asciiTheme="majorHAnsi" w:eastAsia="Times New Roman" w:hAnsiTheme="majorHAnsi" w:cstheme="majorHAnsi"/>
                <w:b/>
                <w:sz w:val="20"/>
                <w:szCs w:val="20"/>
                <w:lang w:eastAsia="ja-JP"/>
              </w:rPr>
              <w:t xml:space="preserve">. </w:t>
            </w:r>
          </w:p>
          <w:p w14:paraId="7CBB189B" w14:textId="77777777" w:rsidR="002261E3" w:rsidRDefault="002261E3" w:rsidP="00936004">
            <w:pPr>
              <w:spacing w:before="8" w:after="8"/>
              <w:rPr>
                <w:rFonts w:asciiTheme="majorHAnsi" w:eastAsia="Times New Roman" w:hAnsiTheme="majorHAnsi" w:cstheme="majorHAnsi"/>
                <w:b/>
                <w:sz w:val="20"/>
                <w:szCs w:val="20"/>
                <w:lang w:eastAsia="ja-JP"/>
              </w:rPr>
            </w:pPr>
          </w:p>
          <w:p w14:paraId="30ABF1C3" w14:textId="3F0B0171" w:rsidR="002261E3" w:rsidRPr="00F667B9" w:rsidRDefault="002261E3" w:rsidP="00936004">
            <w:pPr>
              <w:spacing w:before="8" w:after="8"/>
              <w:rPr>
                <w:rFonts w:asciiTheme="majorHAnsi" w:eastAsia="Times New Roman" w:hAnsiTheme="majorHAnsi" w:cstheme="majorHAnsi"/>
                <w:sz w:val="20"/>
                <w:szCs w:val="20"/>
                <w:lang w:val="tr-TR" w:eastAsia="ja-JP"/>
              </w:rPr>
            </w:pPr>
            <w:r w:rsidRPr="00F667B9">
              <w:rPr>
                <w:rFonts w:asciiTheme="majorHAnsi" w:eastAsia="Times New Roman" w:hAnsiTheme="majorHAnsi" w:cstheme="majorHAnsi"/>
                <w:sz w:val="20"/>
                <w:szCs w:val="20"/>
                <w:lang w:eastAsia="ja-JP"/>
              </w:rPr>
              <w:t>E</w:t>
            </w:r>
            <w:r w:rsidRPr="00F667B9">
              <w:rPr>
                <w:rFonts w:asciiTheme="majorHAnsi" w:eastAsia="Times New Roman" w:hAnsiTheme="majorHAnsi" w:cstheme="majorHAnsi"/>
                <w:sz w:val="20"/>
                <w:szCs w:val="20"/>
                <w:lang w:val="tr-TR" w:eastAsia="ja-JP"/>
              </w:rPr>
              <w:t xml:space="preserve">ğer hastada klozapine bağlı ciddi bir yan etki olabileceğinden şüpheleniyorsanız, klozapini kesin ve gerekli incelemeleri yapın. COVID-19 semptomları özellikle myokardit ve nötropenik sepsis gibi klozapine bağlı yan etkileri taklit edebilir. </w:t>
            </w:r>
            <w:r w:rsidR="00C04270" w:rsidRPr="00F667B9">
              <w:t xml:space="preserve"> </w:t>
            </w:r>
            <w:r w:rsidR="00C04270" w:rsidRPr="00F667B9">
              <w:rPr>
                <w:rFonts w:asciiTheme="majorHAnsi" w:eastAsia="Times New Roman" w:hAnsiTheme="majorHAnsi" w:cstheme="majorHAnsi"/>
                <w:sz w:val="20"/>
                <w:szCs w:val="20"/>
                <w:lang w:val="tr-TR" w:eastAsia="ja-JP"/>
              </w:rPr>
              <w:t>Klozapinle ilişkili miyokardit, genellikle tedavinin ilk 6 haftasında ortaya çıkar. Bu nedenle, ilk dönemden sonra, herhangi bir miyokarditin klozapinle ilişkili olma olasılığı azalmaktadır.</w:t>
            </w:r>
          </w:p>
          <w:p w14:paraId="2DF7C7BC" w14:textId="1DB02A97" w:rsidR="00CC4410" w:rsidRPr="00547037" w:rsidRDefault="00CC4410" w:rsidP="00936004">
            <w:pPr>
              <w:spacing w:before="8" w:after="8"/>
              <w:rPr>
                <w:rFonts w:asciiTheme="majorHAnsi" w:hAnsiTheme="majorHAnsi" w:cstheme="majorHAnsi"/>
                <w:sz w:val="20"/>
                <w:szCs w:val="20"/>
              </w:rPr>
            </w:pPr>
          </w:p>
        </w:tc>
      </w:tr>
      <w:tr w:rsidR="00B04713" w:rsidRPr="00547037" w14:paraId="16A6E09F" w14:textId="77777777" w:rsidTr="00957C88">
        <w:tc>
          <w:tcPr>
            <w:tcW w:w="1148" w:type="pct"/>
            <w:tcBorders>
              <w:top w:val="nil"/>
              <w:left w:val="single" w:sz="48" w:space="0" w:color="E2F2FF"/>
              <w:bottom w:val="nil"/>
              <w:right w:val="nil"/>
            </w:tcBorders>
            <w:shd w:val="clear" w:color="auto" w:fill="E2F2FF"/>
          </w:tcPr>
          <w:p w14:paraId="471CCD68" w14:textId="1F6320DC" w:rsidR="00957C88" w:rsidRPr="00957C88" w:rsidRDefault="004C28D0" w:rsidP="00B04713">
            <w:pPr>
              <w:spacing w:before="8" w:after="8"/>
              <w:rPr>
                <w:rFonts w:asciiTheme="majorHAnsi" w:hAnsiTheme="majorHAnsi" w:cstheme="majorHAnsi"/>
                <w:b/>
                <w:bCs/>
                <w:sz w:val="20"/>
                <w:szCs w:val="20"/>
                <w:lang w:val="tr-TR"/>
              </w:rPr>
            </w:pPr>
            <w:r w:rsidRPr="000A24EB">
              <w:rPr>
                <w:rFonts w:asciiTheme="majorHAnsi" w:hAnsiTheme="majorHAnsi" w:cstheme="majorHAnsi"/>
                <w:b/>
                <w:bCs/>
                <w:sz w:val="20"/>
                <w:szCs w:val="20"/>
                <w:lang w:val="tr-TR"/>
              </w:rPr>
              <w:lastRenderedPageBreak/>
              <w:t>COVID-19 enf</w:t>
            </w:r>
            <w:r w:rsidR="00BF7162" w:rsidRPr="000A24EB">
              <w:rPr>
                <w:rFonts w:asciiTheme="majorHAnsi" w:hAnsiTheme="majorHAnsi" w:cstheme="majorHAnsi"/>
                <w:b/>
                <w:bCs/>
                <w:sz w:val="20"/>
                <w:szCs w:val="20"/>
                <w:lang w:val="tr-TR"/>
              </w:rPr>
              <w:t>eksiyon</w:t>
            </w:r>
            <w:r w:rsidR="000A24EB" w:rsidRPr="000A24EB">
              <w:rPr>
                <w:rFonts w:asciiTheme="majorHAnsi" w:hAnsiTheme="majorHAnsi" w:cstheme="majorHAnsi"/>
                <w:b/>
                <w:bCs/>
                <w:sz w:val="20"/>
                <w:szCs w:val="20"/>
                <w:lang w:val="tr-TR"/>
              </w:rPr>
              <w:t xml:space="preserve">undan da etkilenmiş olabilecek </w:t>
            </w:r>
            <w:r w:rsidR="00BF7162" w:rsidRPr="000A24EB">
              <w:rPr>
                <w:rFonts w:asciiTheme="majorHAnsi" w:hAnsiTheme="majorHAnsi" w:cstheme="majorHAnsi"/>
                <w:b/>
                <w:bCs/>
                <w:sz w:val="20"/>
                <w:szCs w:val="20"/>
                <w:lang w:val="tr-TR"/>
              </w:rPr>
              <w:t xml:space="preserve">durumlarda </w:t>
            </w:r>
            <w:r w:rsidRPr="000A24EB">
              <w:rPr>
                <w:rFonts w:asciiTheme="majorHAnsi" w:hAnsiTheme="majorHAnsi" w:cstheme="majorHAnsi"/>
                <w:b/>
                <w:bCs/>
                <w:sz w:val="20"/>
                <w:szCs w:val="20"/>
                <w:lang w:val="tr-TR"/>
              </w:rPr>
              <w:t>WBC düzeyleri nasıl değerlendirilmelidir?</w:t>
            </w:r>
          </w:p>
          <w:p w14:paraId="56BF1F76" w14:textId="77777777" w:rsidR="008339A4"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8"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3</w:t>
            </w:r>
            <w:r w:rsidRPr="00547037">
              <w:rPr>
                <w:rFonts w:asciiTheme="majorHAnsi" w:hAnsiTheme="majorHAnsi" w:cstheme="majorHAnsi"/>
                <w:sz w:val="20"/>
                <w:szCs w:val="20"/>
              </w:rPr>
              <w:t>]</w:t>
            </w:r>
          </w:p>
          <w:p w14:paraId="3FCF72BA" w14:textId="2A3E6211" w:rsidR="000F144A" w:rsidRPr="000F144A" w:rsidRDefault="000F144A" w:rsidP="000F144A">
            <w:pPr>
              <w:rPr>
                <w:rFonts w:asciiTheme="majorHAnsi" w:hAnsiTheme="majorHAnsi" w:cstheme="majorHAnsi"/>
                <w:sz w:val="20"/>
                <w:szCs w:val="20"/>
              </w:rPr>
            </w:pPr>
            <w:hyperlink r:id="rId19" w:history="1">
              <w:r w:rsidRPr="000F144A">
                <w:rPr>
                  <w:rStyle w:val="Hyperlink"/>
                  <w:rFonts w:asciiTheme="majorHAnsi" w:hAnsiTheme="majorHAnsi" w:cstheme="majorHAnsi"/>
                  <w:sz w:val="20"/>
                  <w:szCs w:val="20"/>
                </w:rPr>
                <w:t>[link11</w:t>
              </w:r>
              <w:r w:rsidRPr="000F144A">
                <w:rPr>
                  <w:rStyle w:val="Hyperlink"/>
                  <w:rFonts w:asciiTheme="majorHAnsi" w:hAnsiTheme="majorHAnsi" w:cstheme="majorHAnsi"/>
                  <w:sz w:val="20"/>
                  <w:szCs w:val="20"/>
                </w:rPr>
                <w:t>]</w:t>
              </w:r>
            </w:hyperlink>
            <w:r w:rsidRPr="000F144A">
              <w:rPr>
                <w:rFonts w:asciiTheme="majorHAnsi" w:hAnsiTheme="majorHAnsi" w:cstheme="majorHAnsi"/>
                <w:sz w:val="20"/>
                <w:szCs w:val="20"/>
              </w:rPr>
              <w:t xml:space="preserve"> </w:t>
            </w:r>
          </w:p>
          <w:p w14:paraId="11B53E9B" w14:textId="2D815C4F" w:rsidR="000F144A" w:rsidRPr="00547037" w:rsidRDefault="000F144A" w:rsidP="00B04713">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296D2EE7" w14:textId="2E813BCE" w:rsidR="004C28D0" w:rsidRDefault="004C28D0" w:rsidP="00B625F8">
            <w:pPr>
              <w:spacing w:before="8" w:after="8"/>
              <w:rPr>
                <w:rFonts w:asciiTheme="majorHAnsi" w:hAnsiTheme="majorHAnsi" w:cstheme="majorHAnsi"/>
                <w:sz w:val="20"/>
                <w:szCs w:val="20"/>
              </w:rPr>
            </w:pPr>
            <w:r>
              <w:rPr>
                <w:rFonts w:asciiTheme="majorHAnsi" w:hAnsiTheme="majorHAnsi" w:cstheme="majorHAnsi"/>
                <w:sz w:val="20"/>
                <w:szCs w:val="20"/>
              </w:rPr>
              <w:t xml:space="preserve">Coronavirus enfeksiyonu </w:t>
            </w:r>
            <w:r w:rsidRPr="00042FC4">
              <w:rPr>
                <w:rFonts w:asciiTheme="majorHAnsi" w:hAnsiTheme="majorHAnsi" w:cstheme="majorHAnsi"/>
                <w:b/>
                <w:sz w:val="20"/>
                <w:szCs w:val="20"/>
              </w:rPr>
              <w:t>lenfosit sayısını azaltabilir</w:t>
            </w:r>
            <w:r w:rsidR="00081B7E">
              <w:rPr>
                <w:rFonts w:asciiTheme="majorHAnsi" w:hAnsiTheme="majorHAnsi" w:cstheme="majorHAnsi"/>
                <w:b/>
                <w:sz w:val="20"/>
                <w:szCs w:val="20"/>
              </w:rPr>
              <w:t>, açığa çıkan veriler nötrofilleri de geçici olarak azaltabileceğini göstermektedir</w:t>
            </w:r>
            <w:r w:rsidRPr="00042FC4">
              <w:rPr>
                <w:rFonts w:asciiTheme="majorHAnsi" w:hAnsiTheme="majorHAnsi" w:cstheme="majorHAnsi"/>
                <w:b/>
                <w:sz w:val="20"/>
                <w:szCs w:val="20"/>
              </w:rPr>
              <w:t>.</w:t>
            </w:r>
            <w:r>
              <w:rPr>
                <w:rFonts w:asciiTheme="majorHAnsi" w:hAnsiTheme="majorHAnsi" w:cstheme="majorHAnsi"/>
                <w:sz w:val="20"/>
                <w:szCs w:val="20"/>
              </w:rPr>
              <w:t xml:space="preserve"> </w:t>
            </w:r>
          </w:p>
          <w:p w14:paraId="2EE01FF5" w14:textId="5B6FE518" w:rsidR="00081B7E" w:rsidRPr="00B625F8" w:rsidRDefault="00081B7E" w:rsidP="00B625F8">
            <w:pPr>
              <w:spacing w:before="8" w:after="8"/>
              <w:rPr>
                <w:rFonts w:asciiTheme="majorHAnsi" w:hAnsiTheme="majorHAnsi" w:cstheme="majorHAnsi"/>
                <w:b/>
                <w:bCs/>
                <w:sz w:val="20"/>
                <w:szCs w:val="20"/>
              </w:rPr>
            </w:pPr>
            <w:r w:rsidRPr="00081B7E">
              <w:rPr>
                <w:rFonts w:asciiTheme="majorHAnsi" w:hAnsiTheme="majorHAnsi" w:cstheme="majorHAnsi"/>
                <w:b/>
                <w:bCs/>
                <w:sz w:val="20"/>
                <w:szCs w:val="20"/>
              </w:rPr>
              <w:t>Klozapine bağlı nötropeni dışlanabiliyorsa, bu hastalar için klozapinin kesilmesi her zaman gerekli değildir.</w:t>
            </w:r>
          </w:p>
          <w:p w14:paraId="63AE7866" w14:textId="77777777" w:rsidR="00B625F8" w:rsidRDefault="00B625F8" w:rsidP="00B625F8">
            <w:pPr>
              <w:spacing w:before="8" w:after="8"/>
              <w:rPr>
                <w:rFonts w:asciiTheme="majorHAnsi" w:hAnsiTheme="majorHAnsi" w:cstheme="majorHAnsi"/>
                <w:sz w:val="20"/>
                <w:szCs w:val="20"/>
              </w:rPr>
            </w:pPr>
          </w:p>
          <w:p w14:paraId="7868782D" w14:textId="457EFFAD" w:rsidR="004C28D0" w:rsidRPr="00B625F8" w:rsidRDefault="004C28D0" w:rsidP="00B625F8">
            <w:pPr>
              <w:spacing w:before="8" w:after="8"/>
              <w:rPr>
                <w:rFonts w:asciiTheme="majorHAnsi" w:hAnsiTheme="majorHAnsi" w:cstheme="majorHAnsi"/>
                <w:sz w:val="20"/>
                <w:szCs w:val="20"/>
              </w:rPr>
            </w:pPr>
            <w:r>
              <w:rPr>
                <w:rFonts w:asciiTheme="majorHAnsi" w:hAnsiTheme="majorHAnsi" w:cstheme="majorHAnsi"/>
                <w:sz w:val="20"/>
                <w:szCs w:val="20"/>
              </w:rPr>
              <w:t>COVID-19 hastalarının WBC düzeylerinin düşük olması muhtemeldir. Bu</w:t>
            </w:r>
            <w:r w:rsidR="001169CC">
              <w:rPr>
                <w:rFonts w:asciiTheme="majorHAnsi" w:hAnsiTheme="majorHAnsi" w:cstheme="majorHAnsi"/>
                <w:sz w:val="20"/>
                <w:szCs w:val="20"/>
              </w:rPr>
              <w:t xml:space="preserve"> durum</w:t>
            </w:r>
            <w:r>
              <w:rPr>
                <w:rFonts w:asciiTheme="majorHAnsi" w:hAnsiTheme="majorHAnsi" w:cstheme="majorHAnsi"/>
                <w:sz w:val="20"/>
                <w:szCs w:val="20"/>
              </w:rPr>
              <w:t xml:space="preserve"> büyük oranda lenfosit düşüklüğüne bağlıdır.  </w:t>
            </w:r>
            <w:r w:rsidR="001169CC">
              <w:rPr>
                <w:rFonts w:asciiTheme="majorHAnsi" w:hAnsiTheme="majorHAnsi" w:cstheme="majorHAnsi"/>
                <w:sz w:val="20"/>
                <w:szCs w:val="20"/>
              </w:rPr>
              <w:t>Klozapin izlemi</w:t>
            </w:r>
            <w:r w:rsidR="009A2DD7">
              <w:rPr>
                <w:rFonts w:asciiTheme="majorHAnsi" w:hAnsiTheme="majorHAnsi" w:cstheme="majorHAnsi"/>
                <w:sz w:val="20"/>
                <w:szCs w:val="20"/>
              </w:rPr>
              <w:t xml:space="preserve">nde kullanılan </w:t>
            </w:r>
            <w:r w:rsidR="001169CC">
              <w:rPr>
                <w:rFonts w:asciiTheme="majorHAnsi" w:hAnsiTheme="majorHAnsi" w:cstheme="majorHAnsi"/>
                <w:sz w:val="20"/>
                <w:szCs w:val="20"/>
              </w:rPr>
              <w:t xml:space="preserve">total WBC </w:t>
            </w:r>
            <w:r w:rsidR="009A2DD7">
              <w:rPr>
                <w:rFonts w:asciiTheme="majorHAnsi" w:hAnsiTheme="majorHAnsi" w:cstheme="majorHAnsi"/>
                <w:sz w:val="20"/>
                <w:szCs w:val="20"/>
              </w:rPr>
              <w:t xml:space="preserve">düzeylerinde </w:t>
            </w:r>
            <w:r w:rsidR="001169CC">
              <w:rPr>
                <w:rFonts w:asciiTheme="majorHAnsi" w:hAnsiTheme="majorHAnsi" w:cstheme="majorHAnsi"/>
                <w:sz w:val="20"/>
                <w:szCs w:val="20"/>
              </w:rPr>
              <w:t xml:space="preserve">bir düşüklük saptanması normal koşullarda klozapin tedavisinin kesilmesini gerektirebilir. </w:t>
            </w:r>
            <w:r w:rsidR="001169CC" w:rsidRPr="00FE5639">
              <w:rPr>
                <w:rFonts w:asciiTheme="majorHAnsi" w:hAnsiTheme="majorHAnsi" w:cstheme="majorHAnsi"/>
                <w:b/>
                <w:sz w:val="20"/>
                <w:szCs w:val="20"/>
              </w:rPr>
              <w:t>Ancak, kloz</w:t>
            </w:r>
            <w:r w:rsidR="009A2DD7" w:rsidRPr="00FE5639">
              <w:rPr>
                <w:rFonts w:asciiTheme="majorHAnsi" w:hAnsiTheme="majorHAnsi" w:cstheme="majorHAnsi"/>
                <w:b/>
                <w:sz w:val="20"/>
                <w:szCs w:val="20"/>
              </w:rPr>
              <w:t>a</w:t>
            </w:r>
            <w:r w:rsidR="001169CC" w:rsidRPr="00FE5639">
              <w:rPr>
                <w:rFonts w:asciiTheme="majorHAnsi" w:hAnsiTheme="majorHAnsi" w:cstheme="majorHAnsi"/>
                <w:b/>
                <w:sz w:val="20"/>
                <w:szCs w:val="20"/>
              </w:rPr>
              <w:t>pin tedavi</w:t>
            </w:r>
            <w:r w:rsidR="009A2DD7" w:rsidRPr="00FE5639">
              <w:rPr>
                <w:rFonts w:asciiTheme="majorHAnsi" w:hAnsiTheme="majorHAnsi" w:cstheme="majorHAnsi"/>
                <w:b/>
                <w:sz w:val="20"/>
                <w:szCs w:val="20"/>
              </w:rPr>
              <w:t xml:space="preserve">sini kesmenin amacı </w:t>
            </w:r>
            <w:r w:rsidR="001169CC" w:rsidRPr="00FE5639">
              <w:rPr>
                <w:rFonts w:asciiTheme="majorHAnsi" w:hAnsiTheme="majorHAnsi" w:cstheme="majorHAnsi"/>
                <w:b/>
                <w:sz w:val="20"/>
                <w:szCs w:val="20"/>
              </w:rPr>
              <w:t>hastayı nötropeni ve agranülositozdan korumaktır. COVID-19 bağlamında</w:t>
            </w:r>
            <w:r w:rsidR="009A2DD7" w:rsidRPr="00FE5639">
              <w:rPr>
                <w:rFonts w:asciiTheme="majorHAnsi" w:hAnsiTheme="majorHAnsi" w:cstheme="majorHAnsi"/>
                <w:b/>
                <w:sz w:val="20"/>
                <w:szCs w:val="20"/>
              </w:rPr>
              <w:t xml:space="preserve"> ise</w:t>
            </w:r>
            <w:r w:rsidR="00BF7162" w:rsidRPr="00FE5639">
              <w:rPr>
                <w:rFonts w:asciiTheme="majorHAnsi" w:hAnsiTheme="majorHAnsi" w:cstheme="majorHAnsi"/>
                <w:b/>
                <w:sz w:val="20"/>
                <w:szCs w:val="20"/>
              </w:rPr>
              <w:t>, nötrofil seviyesinin normal veya tehlikeli olmayan düzeylerde olduğu durumlarda, WB</w:t>
            </w:r>
            <w:r w:rsidR="001169CC" w:rsidRPr="00FE5639">
              <w:rPr>
                <w:rFonts w:asciiTheme="majorHAnsi" w:hAnsiTheme="majorHAnsi" w:cstheme="majorHAnsi"/>
                <w:b/>
                <w:sz w:val="20"/>
                <w:szCs w:val="20"/>
              </w:rPr>
              <w:t>C düş</w:t>
            </w:r>
            <w:r w:rsidR="00BF7162" w:rsidRPr="00FE5639">
              <w:rPr>
                <w:rFonts w:asciiTheme="majorHAnsi" w:hAnsiTheme="majorHAnsi" w:cstheme="majorHAnsi"/>
                <w:b/>
                <w:sz w:val="20"/>
                <w:szCs w:val="20"/>
              </w:rPr>
              <w:t>üklüğü saptansa dahi</w:t>
            </w:r>
            <w:r w:rsidR="001169CC" w:rsidRPr="00FE5639">
              <w:rPr>
                <w:rFonts w:asciiTheme="majorHAnsi" w:hAnsiTheme="majorHAnsi" w:cstheme="majorHAnsi"/>
                <w:b/>
                <w:sz w:val="20"/>
                <w:szCs w:val="20"/>
              </w:rPr>
              <w:t xml:space="preserve"> klozapin tedavisine </w:t>
            </w:r>
            <w:r w:rsidR="00BF7162" w:rsidRPr="00FE5639">
              <w:rPr>
                <w:rFonts w:asciiTheme="majorHAnsi" w:hAnsiTheme="majorHAnsi" w:cstheme="majorHAnsi"/>
                <w:b/>
                <w:sz w:val="20"/>
                <w:szCs w:val="20"/>
              </w:rPr>
              <w:t xml:space="preserve">güvenli bir şekilde devam edilebileceği düşünülmektedir. </w:t>
            </w:r>
          </w:p>
          <w:p w14:paraId="767B2E01" w14:textId="77777777" w:rsidR="004C28D0" w:rsidRDefault="004C28D0" w:rsidP="00B625F8">
            <w:pPr>
              <w:spacing w:before="8" w:after="8"/>
              <w:rPr>
                <w:rFonts w:asciiTheme="majorHAnsi" w:hAnsiTheme="majorHAnsi" w:cstheme="majorHAnsi"/>
                <w:sz w:val="20"/>
                <w:szCs w:val="20"/>
              </w:rPr>
            </w:pPr>
          </w:p>
          <w:p w14:paraId="712F68EB" w14:textId="3F18718F" w:rsidR="003332CE" w:rsidRPr="00547037" w:rsidRDefault="003332CE" w:rsidP="00051E7C">
            <w:pPr>
              <w:spacing w:before="8" w:after="8"/>
              <w:rPr>
                <w:rFonts w:asciiTheme="majorHAnsi" w:hAnsiTheme="majorHAnsi" w:cstheme="majorHAnsi"/>
                <w:sz w:val="20"/>
                <w:szCs w:val="20"/>
              </w:rPr>
            </w:pPr>
          </w:p>
        </w:tc>
      </w:tr>
      <w:tr w:rsidR="00B04713" w:rsidRPr="00547037" w14:paraId="6C359C93" w14:textId="77777777" w:rsidTr="00957C88">
        <w:tc>
          <w:tcPr>
            <w:tcW w:w="1148" w:type="pct"/>
            <w:tcBorders>
              <w:top w:val="nil"/>
              <w:left w:val="single" w:sz="48" w:space="0" w:color="E2F2FF"/>
              <w:bottom w:val="nil"/>
              <w:right w:val="nil"/>
            </w:tcBorders>
          </w:tcPr>
          <w:p w14:paraId="1301892C" w14:textId="26AD44D2" w:rsidR="005C0539" w:rsidRPr="00547037" w:rsidRDefault="00BE1DA5" w:rsidP="00B04713">
            <w:pPr>
              <w:spacing w:before="8" w:after="8"/>
              <w:rPr>
                <w:rFonts w:asciiTheme="majorHAnsi" w:hAnsiTheme="majorHAnsi" w:cstheme="majorHAnsi"/>
                <w:b/>
                <w:bCs/>
                <w:sz w:val="20"/>
                <w:szCs w:val="20"/>
              </w:rPr>
            </w:pPr>
            <w:r>
              <w:rPr>
                <w:rFonts w:asciiTheme="majorHAnsi" w:hAnsiTheme="majorHAnsi" w:cstheme="majorHAnsi"/>
                <w:b/>
                <w:bCs/>
                <w:sz w:val="20"/>
                <w:szCs w:val="20"/>
              </w:rPr>
              <w:t>COVID-19 hastalarında WBC düşüklüğü halinde klozapin tedavisini kesmeli miyim</w:t>
            </w:r>
            <w:r w:rsidR="005C0539" w:rsidRPr="00547037">
              <w:rPr>
                <w:rFonts w:asciiTheme="majorHAnsi" w:hAnsiTheme="majorHAnsi" w:cstheme="majorHAnsi"/>
                <w:b/>
                <w:bCs/>
                <w:sz w:val="20"/>
                <w:szCs w:val="20"/>
              </w:rPr>
              <w:t>?</w:t>
            </w:r>
          </w:p>
          <w:p w14:paraId="3D4C8037" w14:textId="5825F691" w:rsidR="008339A4"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0"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3</w:t>
            </w:r>
            <w:r w:rsidRPr="00547037">
              <w:rPr>
                <w:rFonts w:asciiTheme="majorHAnsi" w:hAnsiTheme="majorHAnsi" w:cstheme="majorHAnsi"/>
                <w:sz w:val="20"/>
                <w:szCs w:val="20"/>
              </w:rPr>
              <w:t>]</w:t>
            </w:r>
          </w:p>
          <w:p w14:paraId="0FA8906E" w14:textId="77777777" w:rsidR="000F144A" w:rsidRPr="000F144A" w:rsidRDefault="000F144A" w:rsidP="000F144A">
            <w:pPr>
              <w:rPr>
                <w:rFonts w:asciiTheme="majorHAnsi" w:hAnsiTheme="majorHAnsi" w:cstheme="majorHAnsi"/>
                <w:sz w:val="20"/>
                <w:szCs w:val="20"/>
              </w:rPr>
            </w:pPr>
            <w:hyperlink r:id="rId21" w:history="1">
              <w:r w:rsidRPr="000F144A">
                <w:rPr>
                  <w:rStyle w:val="Hyperlink"/>
                  <w:rFonts w:asciiTheme="majorHAnsi" w:hAnsiTheme="majorHAnsi" w:cstheme="majorHAnsi"/>
                  <w:sz w:val="20"/>
                  <w:szCs w:val="20"/>
                </w:rPr>
                <w:t>[link11]</w:t>
              </w:r>
            </w:hyperlink>
            <w:r w:rsidRPr="000F144A">
              <w:rPr>
                <w:rFonts w:asciiTheme="majorHAnsi" w:hAnsiTheme="majorHAnsi" w:cstheme="majorHAnsi"/>
                <w:sz w:val="20"/>
                <w:szCs w:val="20"/>
              </w:rPr>
              <w:t xml:space="preserve"> </w:t>
            </w:r>
          </w:p>
          <w:p w14:paraId="437104DF" w14:textId="77777777" w:rsidR="000F144A" w:rsidRPr="00547037" w:rsidRDefault="000F144A" w:rsidP="00B04713">
            <w:pPr>
              <w:spacing w:before="8" w:after="8"/>
              <w:rPr>
                <w:rFonts w:asciiTheme="majorHAnsi" w:hAnsiTheme="majorHAnsi" w:cstheme="majorHAnsi"/>
                <w:sz w:val="20"/>
                <w:szCs w:val="20"/>
              </w:rPr>
            </w:pPr>
          </w:p>
          <w:p w14:paraId="36CBD64C" w14:textId="152EBE70" w:rsidR="008339A4" w:rsidRPr="00547037" w:rsidRDefault="008339A4" w:rsidP="00B04713">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tcPr>
          <w:p w14:paraId="32DB29A0" w14:textId="1119752C" w:rsidR="00ED75B5" w:rsidRDefault="00081B7E" w:rsidP="0048463C">
            <w:pPr>
              <w:spacing w:before="8" w:after="8"/>
              <w:rPr>
                <w:rFonts w:asciiTheme="majorHAnsi" w:hAnsiTheme="majorHAnsi" w:cstheme="majorHAnsi"/>
                <w:sz w:val="20"/>
                <w:szCs w:val="20"/>
              </w:rPr>
            </w:pPr>
            <w:r>
              <w:rPr>
                <w:rFonts w:asciiTheme="majorHAnsi" w:hAnsiTheme="majorHAnsi" w:cstheme="majorHAnsi"/>
                <w:sz w:val="20"/>
                <w:szCs w:val="20"/>
              </w:rPr>
              <w:t>Açığa</w:t>
            </w:r>
            <w:r w:rsidRPr="00081B7E">
              <w:rPr>
                <w:rFonts w:asciiTheme="majorHAnsi" w:hAnsiTheme="majorHAnsi" w:cstheme="majorHAnsi"/>
                <w:sz w:val="20"/>
                <w:szCs w:val="20"/>
              </w:rPr>
              <w:t xml:space="preserve"> çıkan veriler, COVID-19 ile enfekte olan klozapin kullanan hastalarda </w:t>
            </w:r>
            <w:r>
              <w:rPr>
                <w:rFonts w:asciiTheme="majorHAnsi" w:hAnsiTheme="majorHAnsi" w:cstheme="majorHAnsi"/>
                <w:sz w:val="20"/>
                <w:szCs w:val="20"/>
              </w:rPr>
              <w:t>WBC</w:t>
            </w:r>
            <w:r w:rsidRPr="00081B7E">
              <w:rPr>
                <w:rFonts w:asciiTheme="majorHAnsi" w:hAnsiTheme="majorHAnsi" w:cstheme="majorHAnsi"/>
                <w:sz w:val="20"/>
                <w:szCs w:val="20"/>
              </w:rPr>
              <w:t xml:space="preserve">, nötrofil ve lenfositlerde bir azalma olduğunu göstermektedir. Bu azalma </w:t>
            </w:r>
            <w:r>
              <w:rPr>
                <w:rFonts w:asciiTheme="majorHAnsi" w:hAnsiTheme="majorHAnsi" w:cstheme="majorHAnsi"/>
                <w:sz w:val="20"/>
                <w:szCs w:val="20"/>
              </w:rPr>
              <w:t>hafif</w:t>
            </w:r>
            <w:r w:rsidRPr="00081B7E">
              <w:rPr>
                <w:rFonts w:asciiTheme="majorHAnsi" w:hAnsiTheme="majorHAnsi" w:cstheme="majorHAnsi"/>
                <w:sz w:val="20"/>
                <w:szCs w:val="20"/>
              </w:rPr>
              <w:t xml:space="preserve"> (ortalama 1x109 / L) ve geçicidir, 2 hafta içinde iyileşir.</w:t>
            </w:r>
          </w:p>
          <w:p w14:paraId="18B0E4D1" w14:textId="77777777" w:rsidR="00081B7E" w:rsidRDefault="00081B7E" w:rsidP="0048463C">
            <w:pPr>
              <w:spacing w:before="8" w:after="8"/>
              <w:rPr>
                <w:rFonts w:asciiTheme="majorHAnsi" w:hAnsiTheme="majorHAnsi" w:cstheme="majorHAnsi"/>
                <w:sz w:val="20"/>
                <w:szCs w:val="20"/>
              </w:rPr>
            </w:pPr>
          </w:p>
          <w:p w14:paraId="071CE0E3" w14:textId="77777777" w:rsidR="00722151" w:rsidRDefault="0048463C" w:rsidP="0048463C">
            <w:pPr>
              <w:spacing w:before="8" w:after="8"/>
              <w:rPr>
                <w:rFonts w:asciiTheme="majorHAnsi" w:hAnsiTheme="majorHAnsi" w:cstheme="majorHAnsi"/>
                <w:sz w:val="20"/>
                <w:szCs w:val="20"/>
              </w:rPr>
            </w:pPr>
            <w:r>
              <w:rPr>
                <w:rFonts w:asciiTheme="majorHAnsi" w:hAnsiTheme="majorHAnsi" w:cstheme="majorHAnsi"/>
                <w:sz w:val="20"/>
                <w:szCs w:val="20"/>
              </w:rPr>
              <w:t xml:space="preserve">Kontrolsüz </w:t>
            </w:r>
            <w:r w:rsidR="0090613C">
              <w:rPr>
                <w:rFonts w:asciiTheme="majorHAnsi" w:hAnsiTheme="majorHAnsi" w:cstheme="majorHAnsi"/>
                <w:sz w:val="20"/>
                <w:szCs w:val="20"/>
              </w:rPr>
              <w:t>psikotik semptomlar</w:t>
            </w:r>
            <w:r>
              <w:rPr>
                <w:rFonts w:asciiTheme="majorHAnsi" w:hAnsiTheme="majorHAnsi" w:cstheme="majorHAnsi"/>
                <w:sz w:val="20"/>
                <w:szCs w:val="20"/>
              </w:rPr>
              <w:t xml:space="preserve">ın enfekte bir hastanın tedavisinin </w:t>
            </w:r>
            <w:r w:rsidR="00BE1DA5">
              <w:rPr>
                <w:rFonts w:asciiTheme="majorHAnsi" w:hAnsiTheme="majorHAnsi" w:cstheme="majorHAnsi"/>
                <w:sz w:val="20"/>
                <w:szCs w:val="20"/>
              </w:rPr>
              <w:t xml:space="preserve">güvenli bir şekilde </w:t>
            </w:r>
            <w:r>
              <w:rPr>
                <w:rFonts w:asciiTheme="majorHAnsi" w:hAnsiTheme="majorHAnsi" w:cstheme="majorHAnsi"/>
                <w:sz w:val="20"/>
                <w:szCs w:val="20"/>
              </w:rPr>
              <w:t xml:space="preserve">yönetilmesi noktasında </w:t>
            </w:r>
            <w:r w:rsidR="00BE1DA5">
              <w:rPr>
                <w:rFonts w:asciiTheme="majorHAnsi" w:hAnsiTheme="majorHAnsi" w:cstheme="majorHAnsi"/>
                <w:sz w:val="20"/>
                <w:szCs w:val="20"/>
              </w:rPr>
              <w:t xml:space="preserve">güçlüklere </w:t>
            </w:r>
            <w:r w:rsidR="00655384">
              <w:rPr>
                <w:rFonts w:asciiTheme="majorHAnsi" w:hAnsiTheme="majorHAnsi" w:cstheme="majorHAnsi"/>
                <w:sz w:val="20"/>
                <w:szCs w:val="20"/>
              </w:rPr>
              <w:t xml:space="preserve">yol </w:t>
            </w:r>
            <w:r w:rsidR="0090613C">
              <w:rPr>
                <w:rFonts w:asciiTheme="majorHAnsi" w:hAnsiTheme="majorHAnsi" w:cstheme="majorHAnsi"/>
                <w:sz w:val="20"/>
                <w:szCs w:val="20"/>
              </w:rPr>
              <w:t>a</w:t>
            </w:r>
            <w:r>
              <w:rPr>
                <w:rFonts w:asciiTheme="majorHAnsi" w:hAnsiTheme="majorHAnsi" w:cstheme="majorHAnsi"/>
                <w:sz w:val="20"/>
                <w:szCs w:val="20"/>
              </w:rPr>
              <w:t>çabileceği bir dönemde,</w:t>
            </w:r>
            <w:r w:rsidR="0090613C">
              <w:rPr>
                <w:rFonts w:asciiTheme="majorHAnsi" w:hAnsiTheme="majorHAnsi" w:cstheme="majorHAnsi"/>
                <w:sz w:val="20"/>
                <w:szCs w:val="20"/>
              </w:rPr>
              <w:t xml:space="preserve"> </w:t>
            </w:r>
            <w:r w:rsidRPr="00FE5639">
              <w:rPr>
                <w:rFonts w:asciiTheme="majorHAnsi" w:hAnsiTheme="majorHAnsi" w:cstheme="majorHAnsi"/>
                <w:b/>
                <w:sz w:val="20"/>
                <w:szCs w:val="20"/>
              </w:rPr>
              <w:t xml:space="preserve">klozapin gibi etkili bir antipsikotik tedaviyi sonlandırmanın risklerini de göz önünde bulundurmak </w:t>
            </w:r>
            <w:r w:rsidR="00655384" w:rsidRPr="00FE5639">
              <w:rPr>
                <w:rFonts w:asciiTheme="majorHAnsi" w:hAnsiTheme="majorHAnsi" w:cstheme="majorHAnsi"/>
                <w:b/>
                <w:sz w:val="20"/>
                <w:szCs w:val="20"/>
              </w:rPr>
              <w:t>son derece</w:t>
            </w:r>
            <w:r w:rsidR="00BE1DA5" w:rsidRPr="00FE5639">
              <w:rPr>
                <w:rFonts w:asciiTheme="majorHAnsi" w:hAnsiTheme="majorHAnsi" w:cstheme="majorHAnsi"/>
                <w:b/>
                <w:sz w:val="20"/>
                <w:szCs w:val="20"/>
              </w:rPr>
              <w:t xml:space="preserve"> önem arz etmektedir</w:t>
            </w:r>
            <w:r w:rsidR="00BE1DA5">
              <w:rPr>
                <w:rFonts w:asciiTheme="majorHAnsi" w:hAnsiTheme="majorHAnsi" w:cstheme="majorHAnsi"/>
                <w:sz w:val="20"/>
                <w:szCs w:val="20"/>
              </w:rPr>
              <w:t xml:space="preserve">. </w:t>
            </w:r>
          </w:p>
          <w:p w14:paraId="44E8E74B" w14:textId="1D7AB274" w:rsidR="00081B7E" w:rsidRPr="00547037" w:rsidRDefault="00081B7E" w:rsidP="0048463C">
            <w:pPr>
              <w:spacing w:before="8" w:after="8"/>
              <w:rPr>
                <w:rFonts w:asciiTheme="majorHAnsi" w:hAnsiTheme="majorHAnsi" w:cstheme="majorHAnsi"/>
                <w:sz w:val="20"/>
                <w:szCs w:val="20"/>
              </w:rPr>
            </w:pPr>
          </w:p>
        </w:tc>
      </w:tr>
      <w:tr w:rsidR="00B04713" w:rsidRPr="00547037" w14:paraId="25C09D0A" w14:textId="77777777" w:rsidTr="00D54077">
        <w:tc>
          <w:tcPr>
            <w:tcW w:w="5000" w:type="pct"/>
            <w:gridSpan w:val="2"/>
            <w:tcBorders>
              <w:top w:val="nil"/>
              <w:left w:val="single" w:sz="48" w:space="0" w:color="E2F2FF"/>
              <w:bottom w:val="nil"/>
              <w:right w:val="single" w:sz="48" w:space="0" w:color="E2F2FF"/>
            </w:tcBorders>
            <w:shd w:val="clear" w:color="auto" w:fill="002147"/>
          </w:tcPr>
          <w:p w14:paraId="0C688FE8" w14:textId="246ADA74" w:rsidR="00C134AF" w:rsidRPr="00547037" w:rsidRDefault="0048463C" w:rsidP="0048463C">
            <w:pPr>
              <w:spacing w:before="8" w:after="8"/>
              <w:rPr>
                <w:rFonts w:asciiTheme="majorHAnsi" w:hAnsiTheme="majorHAnsi" w:cstheme="majorHAnsi"/>
                <w:b/>
                <w:bCs/>
                <w:sz w:val="20"/>
                <w:szCs w:val="20"/>
              </w:rPr>
            </w:pPr>
            <w:r>
              <w:rPr>
                <w:rFonts w:asciiTheme="majorHAnsi" w:hAnsiTheme="majorHAnsi" w:cstheme="majorHAnsi"/>
                <w:b/>
                <w:bCs/>
                <w:sz w:val="20"/>
                <w:szCs w:val="20"/>
              </w:rPr>
              <w:t>Önerilen kan testi sıklığına uyma noktasında karşılaşılan güçlükleri nasıl yönetebilirim?</w:t>
            </w:r>
          </w:p>
        </w:tc>
      </w:tr>
      <w:tr w:rsidR="00B04713" w:rsidRPr="00547037" w14:paraId="3718C49F" w14:textId="77777777" w:rsidTr="00D54077">
        <w:tc>
          <w:tcPr>
            <w:tcW w:w="1148" w:type="pct"/>
            <w:tcBorders>
              <w:top w:val="nil"/>
              <w:left w:val="single" w:sz="48" w:space="0" w:color="E2F2FF"/>
              <w:bottom w:val="nil"/>
              <w:right w:val="nil"/>
            </w:tcBorders>
            <w:shd w:val="clear" w:color="auto" w:fill="E2F2FF"/>
          </w:tcPr>
          <w:p w14:paraId="3203271C" w14:textId="3E0037FC" w:rsidR="009657A2" w:rsidRDefault="009657A2" w:rsidP="00B04713">
            <w:pPr>
              <w:spacing w:before="8" w:after="8"/>
              <w:rPr>
                <w:rFonts w:asciiTheme="majorHAnsi" w:hAnsiTheme="majorHAnsi" w:cstheme="majorHAnsi"/>
                <w:b/>
                <w:bCs/>
                <w:sz w:val="20"/>
                <w:szCs w:val="20"/>
              </w:rPr>
            </w:pPr>
            <w:r>
              <w:rPr>
                <w:rFonts w:asciiTheme="majorHAnsi" w:hAnsiTheme="majorHAnsi" w:cstheme="majorHAnsi"/>
                <w:b/>
                <w:bCs/>
                <w:sz w:val="20"/>
                <w:szCs w:val="20"/>
              </w:rPr>
              <w:lastRenderedPageBreak/>
              <w:t xml:space="preserve">Kan tetkiklerinin sıklığını azaltabilir miyim? </w:t>
            </w:r>
          </w:p>
          <w:p w14:paraId="29709E15" w14:textId="77777777" w:rsidR="009657A2" w:rsidRPr="00547037" w:rsidRDefault="009657A2" w:rsidP="00B04713">
            <w:pPr>
              <w:spacing w:before="8" w:after="8"/>
              <w:rPr>
                <w:rFonts w:asciiTheme="majorHAnsi" w:hAnsiTheme="majorHAnsi" w:cstheme="majorHAnsi"/>
                <w:b/>
                <w:bCs/>
                <w:sz w:val="20"/>
                <w:szCs w:val="20"/>
              </w:rPr>
            </w:pPr>
          </w:p>
          <w:p w14:paraId="41081BC2" w14:textId="77777777" w:rsidR="005C0539" w:rsidRPr="00547037" w:rsidRDefault="008339A4" w:rsidP="00B04713">
            <w:pPr>
              <w:spacing w:before="8" w:after="8"/>
              <w:rPr>
                <w:rFonts w:asciiTheme="majorHAnsi" w:eastAsia="Times New Roman" w:hAnsiTheme="majorHAnsi" w:cstheme="majorHAnsi"/>
                <w:color w:val="000000" w:themeColor="text1"/>
                <w:sz w:val="20"/>
                <w:szCs w:val="20"/>
                <w:lang w:eastAsia="ja-JP"/>
              </w:rPr>
            </w:pPr>
            <w:r w:rsidRPr="00547037">
              <w:rPr>
                <w:rFonts w:asciiTheme="majorHAnsi" w:eastAsia="Times New Roman" w:hAnsiTheme="majorHAnsi" w:cstheme="majorHAnsi"/>
                <w:color w:val="000000" w:themeColor="text1"/>
                <w:sz w:val="20"/>
                <w:szCs w:val="20"/>
                <w:lang w:eastAsia="ja-JP"/>
              </w:rPr>
              <w:t>[</w:t>
            </w:r>
            <w:hyperlink r:id="rId22" w:history="1">
              <w:r w:rsidRPr="00547037">
                <w:rPr>
                  <w:rStyle w:val="Hyperlink"/>
                  <w:rFonts w:asciiTheme="majorHAnsi" w:eastAsia="Times New Roman" w:hAnsiTheme="majorHAnsi" w:cstheme="majorHAnsi"/>
                  <w:sz w:val="20"/>
                  <w:szCs w:val="20"/>
                  <w:lang w:eastAsia="ja-JP"/>
                </w:rPr>
                <w:t>link</w:t>
              </w:r>
            </w:hyperlink>
            <w:r w:rsidRPr="00547037">
              <w:rPr>
                <w:rStyle w:val="Hyperlink"/>
                <w:rFonts w:asciiTheme="majorHAnsi" w:eastAsia="Times New Roman" w:hAnsiTheme="majorHAnsi" w:cstheme="majorHAnsi"/>
                <w:sz w:val="20"/>
                <w:szCs w:val="20"/>
                <w:lang w:eastAsia="ja-JP"/>
              </w:rPr>
              <w:t>1</w:t>
            </w:r>
            <w:r w:rsidRPr="00547037">
              <w:rPr>
                <w:rFonts w:asciiTheme="majorHAnsi" w:eastAsia="Times New Roman" w:hAnsiTheme="majorHAnsi" w:cstheme="majorHAnsi"/>
                <w:color w:val="000000" w:themeColor="text1"/>
                <w:sz w:val="20"/>
                <w:szCs w:val="20"/>
                <w:lang w:eastAsia="ja-JP"/>
              </w:rPr>
              <w:t>]</w:t>
            </w:r>
          </w:p>
          <w:p w14:paraId="6F1DB9AA" w14:textId="77777777" w:rsidR="008339A4" w:rsidRPr="00547037"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3"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2</w:t>
            </w:r>
            <w:r w:rsidRPr="00547037">
              <w:rPr>
                <w:rFonts w:asciiTheme="majorHAnsi" w:hAnsiTheme="majorHAnsi" w:cstheme="majorHAnsi"/>
                <w:sz w:val="20"/>
                <w:szCs w:val="20"/>
              </w:rPr>
              <w:t>]</w:t>
            </w:r>
          </w:p>
          <w:p w14:paraId="62FAC79D" w14:textId="77777777" w:rsidR="006B474C" w:rsidRDefault="004C2BFF" w:rsidP="006B474C">
            <w:pPr>
              <w:spacing w:before="8" w:after="8"/>
              <w:rPr>
                <w:rFonts w:asciiTheme="majorHAnsi" w:eastAsia="Times New Roman" w:hAnsiTheme="majorHAnsi" w:cstheme="majorHAnsi"/>
                <w:color w:val="000000" w:themeColor="text1"/>
                <w:sz w:val="20"/>
                <w:szCs w:val="20"/>
                <w:lang w:eastAsia="ja-JP"/>
              </w:rPr>
            </w:pPr>
            <w:r w:rsidRPr="004C2BFF">
              <w:rPr>
                <w:rFonts w:asciiTheme="majorHAnsi" w:eastAsia="Times New Roman" w:hAnsiTheme="majorHAnsi" w:cstheme="majorHAnsi"/>
                <w:color w:val="000000" w:themeColor="text1"/>
                <w:sz w:val="20"/>
                <w:szCs w:val="20"/>
                <w:lang w:eastAsia="ja-JP"/>
              </w:rPr>
              <w:t>[</w:t>
            </w:r>
            <w:hyperlink r:id="rId24" w:history="1">
              <w:r w:rsidRPr="004C2BFF">
                <w:rPr>
                  <w:rStyle w:val="Hyperlink"/>
                  <w:rFonts w:asciiTheme="majorHAnsi" w:eastAsia="Times New Roman" w:hAnsiTheme="majorHAnsi" w:cstheme="majorHAnsi"/>
                  <w:sz w:val="20"/>
                  <w:szCs w:val="20"/>
                  <w:lang w:eastAsia="ja-JP"/>
                </w:rPr>
                <w:t>link5</w:t>
              </w:r>
            </w:hyperlink>
            <w:r w:rsidRPr="004C2BFF">
              <w:rPr>
                <w:rFonts w:asciiTheme="majorHAnsi" w:eastAsia="Times New Roman" w:hAnsiTheme="majorHAnsi" w:cstheme="majorHAnsi"/>
                <w:color w:val="000000" w:themeColor="text1"/>
                <w:sz w:val="20"/>
                <w:szCs w:val="20"/>
                <w:lang w:eastAsia="ja-JP"/>
              </w:rPr>
              <w:t>]</w:t>
            </w:r>
          </w:p>
          <w:p w14:paraId="57831895" w14:textId="77777777" w:rsidR="00352780" w:rsidRDefault="00352780" w:rsidP="006B474C">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w:t>
            </w:r>
            <w:hyperlink r:id="rId25" w:history="1">
              <w:r w:rsidRPr="00352780">
                <w:rPr>
                  <w:rStyle w:val="Hyperlink"/>
                  <w:rFonts w:asciiTheme="majorHAnsi" w:eastAsia="Times New Roman" w:hAnsiTheme="majorHAnsi" w:cstheme="majorHAnsi"/>
                  <w:sz w:val="20"/>
                  <w:szCs w:val="20"/>
                  <w:lang w:eastAsia="ja-JP"/>
                </w:rPr>
                <w:t>link6</w:t>
              </w:r>
            </w:hyperlink>
            <w:r>
              <w:rPr>
                <w:rFonts w:asciiTheme="majorHAnsi" w:eastAsia="Times New Roman" w:hAnsiTheme="majorHAnsi" w:cstheme="majorHAnsi"/>
                <w:color w:val="000000" w:themeColor="text1"/>
                <w:sz w:val="20"/>
                <w:szCs w:val="20"/>
                <w:lang w:eastAsia="ja-JP"/>
              </w:rPr>
              <w:t>]</w:t>
            </w:r>
          </w:p>
          <w:p w14:paraId="02C320C3" w14:textId="28D19210" w:rsidR="00F237AB" w:rsidRPr="006B474C" w:rsidRDefault="007C0A48" w:rsidP="006B474C">
            <w:pPr>
              <w:spacing w:before="8" w:after="8"/>
              <w:rPr>
                <w:rFonts w:asciiTheme="majorHAnsi" w:eastAsia="Times New Roman" w:hAnsiTheme="majorHAnsi" w:cstheme="majorHAnsi"/>
                <w:color w:val="000000" w:themeColor="text1"/>
                <w:sz w:val="20"/>
                <w:szCs w:val="20"/>
                <w:lang w:eastAsia="ja-JP"/>
              </w:rPr>
            </w:pPr>
            <w:hyperlink r:id="rId26" w:history="1">
              <w:r w:rsidR="00F237AB" w:rsidRPr="00F237AB">
                <w:rPr>
                  <w:rStyle w:val="Hyperlink"/>
                  <w:rFonts w:asciiTheme="majorHAnsi" w:hAnsiTheme="majorHAnsi" w:cstheme="majorHAnsi"/>
                  <w:sz w:val="20"/>
                  <w:szCs w:val="20"/>
                </w:rPr>
                <w:t>[link10]</w:t>
              </w:r>
            </w:hyperlink>
          </w:p>
        </w:tc>
        <w:tc>
          <w:tcPr>
            <w:tcW w:w="3852" w:type="pct"/>
            <w:tcBorders>
              <w:top w:val="nil"/>
              <w:left w:val="nil"/>
              <w:bottom w:val="nil"/>
              <w:right w:val="single" w:sz="48" w:space="0" w:color="E2F2FF"/>
            </w:tcBorders>
            <w:shd w:val="clear" w:color="auto" w:fill="E2F2FF"/>
          </w:tcPr>
          <w:p w14:paraId="606D55CE" w14:textId="14F45616" w:rsidR="009657A2" w:rsidRPr="00FE5639" w:rsidRDefault="00A715F8" w:rsidP="00936004">
            <w:pPr>
              <w:spacing w:before="8" w:after="8"/>
              <w:rPr>
                <w:rFonts w:asciiTheme="majorHAnsi" w:eastAsia="Times New Roman" w:hAnsiTheme="majorHAnsi" w:cstheme="majorHAnsi"/>
                <w:b/>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 xml:space="preserve">Herzaman olduğu </w:t>
            </w:r>
            <w:r w:rsidR="009657A2">
              <w:rPr>
                <w:rFonts w:asciiTheme="majorHAnsi" w:eastAsia="Times New Roman" w:hAnsiTheme="majorHAnsi" w:cstheme="majorHAnsi"/>
                <w:color w:val="000000" w:themeColor="text1"/>
                <w:sz w:val="20"/>
                <w:szCs w:val="20"/>
                <w:lang w:eastAsia="ja-JP"/>
              </w:rPr>
              <w:t xml:space="preserve">gibi, klozapin alan hastaların </w:t>
            </w:r>
            <w:r w:rsidR="009657A2" w:rsidRPr="00FE5639">
              <w:rPr>
                <w:rFonts w:asciiTheme="majorHAnsi" w:eastAsia="Times New Roman" w:hAnsiTheme="majorHAnsi" w:cstheme="majorHAnsi"/>
                <w:b/>
                <w:color w:val="000000" w:themeColor="text1"/>
                <w:sz w:val="20"/>
                <w:szCs w:val="20"/>
                <w:lang w:eastAsia="ja-JP"/>
              </w:rPr>
              <w:t xml:space="preserve">lökosit ve nötrofil sayılarının </w:t>
            </w:r>
            <w:r w:rsidRPr="00FE5639">
              <w:rPr>
                <w:rFonts w:asciiTheme="majorHAnsi" w:eastAsia="Times New Roman" w:hAnsiTheme="majorHAnsi" w:cstheme="majorHAnsi"/>
                <w:b/>
                <w:color w:val="000000" w:themeColor="text1"/>
                <w:sz w:val="20"/>
                <w:szCs w:val="20"/>
                <w:lang w:eastAsia="ja-JP"/>
              </w:rPr>
              <w:t xml:space="preserve">düzenli kan tetkikleri ile </w:t>
            </w:r>
            <w:r w:rsidR="009657A2" w:rsidRPr="00FE5639">
              <w:rPr>
                <w:rFonts w:asciiTheme="majorHAnsi" w:eastAsia="Times New Roman" w:hAnsiTheme="majorHAnsi" w:cstheme="majorHAnsi"/>
                <w:b/>
                <w:color w:val="000000" w:themeColor="text1"/>
                <w:sz w:val="20"/>
                <w:szCs w:val="20"/>
                <w:lang w:eastAsia="ja-JP"/>
              </w:rPr>
              <w:t>izlenmesi zorunludur.</w:t>
            </w:r>
            <w:r w:rsidR="009657A2">
              <w:rPr>
                <w:rFonts w:asciiTheme="majorHAnsi" w:eastAsia="Times New Roman" w:hAnsiTheme="majorHAnsi" w:cstheme="majorHAnsi"/>
                <w:color w:val="000000" w:themeColor="text1"/>
                <w:sz w:val="20"/>
                <w:szCs w:val="20"/>
                <w:lang w:eastAsia="ja-JP"/>
              </w:rPr>
              <w:t xml:space="preserve"> Kan tetkiki isteme sıklığı ve yapılmış bir tetkikin ne kadar süre geçerli olacağı, klozapine bağlı nötropeni ve agranülositoz riskine bağlıdır. </w:t>
            </w:r>
            <w:r w:rsidR="009657A2" w:rsidRPr="00FE5639">
              <w:rPr>
                <w:rFonts w:asciiTheme="majorHAnsi" w:eastAsia="Times New Roman" w:hAnsiTheme="majorHAnsi" w:cstheme="majorHAnsi"/>
                <w:b/>
                <w:color w:val="000000" w:themeColor="text1"/>
                <w:sz w:val="20"/>
                <w:szCs w:val="20"/>
                <w:lang w:eastAsia="ja-JP"/>
              </w:rPr>
              <w:t xml:space="preserve">Klozapini bu belirtilen süreler dışında </w:t>
            </w:r>
            <w:r w:rsidRPr="00FE5639">
              <w:rPr>
                <w:rFonts w:asciiTheme="majorHAnsi" w:eastAsia="Times New Roman" w:hAnsiTheme="majorHAnsi" w:cstheme="majorHAnsi"/>
                <w:b/>
                <w:color w:val="000000" w:themeColor="text1"/>
                <w:sz w:val="20"/>
                <w:szCs w:val="20"/>
                <w:lang w:eastAsia="ja-JP"/>
              </w:rPr>
              <w:t xml:space="preserve">reçete etmek </w:t>
            </w:r>
            <w:r w:rsidR="009657A2" w:rsidRPr="00FE5639">
              <w:rPr>
                <w:rFonts w:asciiTheme="majorHAnsi" w:eastAsia="Times New Roman" w:hAnsiTheme="majorHAnsi" w:cstheme="majorHAnsi"/>
                <w:b/>
                <w:color w:val="000000" w:themeColor="text1"/>
                <w:sz w:val="20"/>
                <w:szCs w:val="20"/>
                <w:lang w:eastAsia="ja-JP"/>
              </w:rPr>
              <w:t xml:space="preserve">(örn. geçerli bir tam kan sayımı olmaksızın) lisans dışıdır. </w:t>
            </w:r>
          </w:p>
          <w:p w14:paraId="5D81B94B" w14:textId="77777777" w:rsidR="009657A2" w:rsidRPr="00FE5639" w:rsidRDefault="009657A2" w:rsidP="00936004">
            <w:pPr>
              <w:spacing w:before="8" w:after="8"/>
              <w:rPr>
                <w:rFonts w:asciiTheme="majorHAnsi" w:eastAsia="Times New Roman" w:hAnsiTheme="majorHAnsi" w:cstheme="majorHAnsi"/>
                <w:b/>
                <w:color w:val="000000" w:themeColor="text1"/>
                <w:sz w:val="20"/>
                <w:szCs w:val="20"/>
                <w:lang w:eastAsia="ja-JP"/>
              </w:rPr>
            </w:pPr>
          </w:p>
          <w:p w14:paraId="4961316E" w14:textId="74027757" w:rsidR="005C0539" w:rsidRDefault="009657A2" w:rsidP="00936004">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Ancak</w:t>
            </w:r>
            <w:r w:rsidR="00184203">
              <w:rPr>
                <w:rFonts w:asciiTheme="majorHAnsi" w:eastAsia="Times New Roman" w:hAnsiTheme="majorHAnsi" w:cstheme="majorHAnsi"/>
                <w:color w:val="000000" w:themeColor="text1"/>
                <w:sz w:val="20"/>
                <w:szCs w:val="20"/>
                <w:lang w:eastAsia="ja-JP"/>
              </w:rPr>
              <w:t>, pandemi sürecinde şu önerilere uyulabilir</w:t>
            </w:r>
            <w:r>
              <w:rPr>
                <w:rFonts w:asciiTheme="majorHAnsi" w:eastAsia="Times New Roman" w:hAnsiTheme="majorHAnsi" w:cstheme="majorHAnsi"/>
                <w:color w:val="000000" w:themeColor="text1"/>
                <w:sz w:val="20"/>
                <w:szCs w:val="20"/>
                <w:lang w:eastAsia="ja-JP"/>
              </w:rPr>
              <w:t>:</w:t>
            </w:r>
          </w:p>
          <w:p w14:paraId="110D85FB" w14:textId="7051595F" w:rsidR="009657A2" w:rsidRDefault="009657A2" w:rsidP="00936004">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Aylık monitorizasyon altında olan hastalarda,</w:t>
            </w:r>
          </w:p>
          <w:p w14:paraId="109120EB" w14:textId="77777777" w:rsidR="009657A2" w:rsidRPr="00B04713" w:rsidRDefault="009657A2" w:rsidP="00936004">
            <w:pPr>
              <w:spacing w:before="8" w:after="8"/>
              <w:rPr>
                <w:rFonts w:asciiTheme="majorHAnsi" w:eastAsia="Times New Roman" w:hAnsiTheme="majorHAnsi" w:cstheme="majorHAnsi"/>
                <w:color w:val="000000" w:themeColor="text1"/>
                <w:sz w:val="10"/>
                <w:szCs w:val="10"/>
                <w:lang w:eastAsia="ja-JP"/>
              </w:rPr>
            </w:pPr>
          </w:p>
          <w:p w14:paraId="583555BE" w14:textId="090EC4E8" w:rsidR="005C0539" w:rsidRPr="003332CE" w:rsidRDefault="009657A2" w:rsidP="00936004">
            <w:pPr>
              <w:spacing w:before="8" w:after="8"/>
              <w:rPr>
                <w:rFonts w:asciiTheme="majorHAnsi" w:hAnsiTheme="majorHAnsi" w:cstheme="majorHAnsi"/>
                <w:b/>
                <w:bCs/>
                <w:sz w:val="20"/>
                <w:szCs w:val="20"/>
              </w:rPr>
            </w:pPr>
            <w:r>
              <w:rPr>
                <w:rFonts w:asciiTheme="majorHAnsi" w:hAnsiTheme="majorHAnsi" w:cstheme="majorHAnsi"/>
                <w:b/>
                <w:bCs/>
                <w:sz w:val="20"/>
                <w:szCs w:val="20"/>
              </w:rPr>
              <w:t>Eğer hasta aşağıdaki kriterleri karşılıyorsa:</w:t>
            </w:r>
          </w:p>
          <w:p w14:paraId="1F1C0C91" w14:textId="3D893F54" w:rsidR="005414C1" w:rsidRPr="00547037" w:rsidRDefault="009657A2" w:rsidP="00936004">
            <w:pPr>
              <w:pStyle w:val="ListParagraph"/>
              <w:numPr>
                <w:ilvl w:val="0"/>
                <w:numId w:val="3"/>
              </w:numPr>
              <w:spacing w:before="8" w:after="8"/>
              <w:rPr>
                <w:rFonts w:asciiTheme="majorHAnsi" w:hAnsiTheme="majorHAnsi" w:cstheme="majorHAnsi"/>
                <w:sz w:val="20"/>
                <w:szCs w:val="20"/>
              </w:rPr>
            </w:pPr>
            <w:r>
              <w:rPr>
                <w:rFonts w:asciiTheme="majorHAnsi" w:hAnsiTheme="majorHAnsi" w:cstheme="majorHAnsi"/>
                <w:sz w:val="20"/>
                <w:szCs w:val="20"/>
              </w:rPr>
              <w:t xml:space="preserve">1 yıldan uzun süredir sürekli klozapin tedavisi altında olmak, ve </w:t>
            </w:r>
          </w:p>
          <w:p w14:paraId="7D3EFA1D" w14:textId="695D7D4C" w:rsidR="00DD353E" w:rsidRDefault="009657A2" w:rsidP="00936004">
            <w:pPr>
              <w:pStyle w:val="ListParagraph"/>
              <w:numPr>
                <w:ilvl w:val="0"/>
                <w:numId w:val="3"/>
              </w:numPr>
              <w:spacing w:before="8" w:after="8"/>
              <w:rPr>
                <w:rFonts w:asciiTheme="majorHAnsi" w:hAnsiTheme="majorHAnsi" w:cstheme="majorHAnsi"/>
                <w:sz w:val="20"/>
                <w:szCs w:val="20"/>
              </w:rPr>
            </w:pPr>
            <w:r>
              <w:rPr>
                <w:rFonts w:asciiTheme="majorHAnsi" w:hAnsiTheme="majorHAnsi" w:cstheme="majorHAnsi"/>
                <w:sz w:val="20"/>
                <w:szCs w:val="20"/>
              </w:rPr>
              <w:t xml:space="preserve">daha önceki tetkiklerinde hiç bir zaman mutlak nötrofil sayısının </w:t>
            </w:r>
            <w:r w:rsidR="00D8552C">
              <w:rPr>
                <w:rFonts w:asciiTheme="majorHAnsi" w:hAnsiTheme="majorHAnsi" w:cstheme="majorHAnsi"/>
                <w:sz w:val="20"/>
                <w:szCs w:val="20"/>
              </w:rPr>
              <w:t xml:space="preserve">&lt;2000/µl (veya benign etnik nötropenisi olanlarda </w:t>
            </w:r>
            <w:r w:rsidR="005C0539" w:rsidRPr="00547037">
              <w:rPr>
                <w:rFonts w:asciiTheme="majorHAnsi" w:hAnsiTheme="majorHAnsi" w:cstheme="majorHAnsi"/>
                <w:sz w:val="20"/>
                <w:szCs w:val="20"/>
              </w:rPr>
              <w:t>&lt;1500/µl)</w:t>
            </w:r>
            <w:r>
              <w:rPr>
                <w:rFonts w:asciiTheme="majorHAnsi" w:hAnsiTheme="majorHAnsi" w:cstheme="majorHAnsi"/>
                <w:sz w:val="20"/>
                <w:szCs w:val="20"/>
              </w:rPr>
              <w:t xml:space="preserve"> altına düşmemiş olması</w:t>
            </w:r>
            <w:r w:rsidR="00DD353E">
              <w:rPr>
                <w:rFonts w:asciiTheme="majorHAnsi" w:hAnsiTheme="majorHAnsi" w:cstheme="majorHAnsi"/>
                <w:sz w:val="20"/>
                <w:szCs w:val="20"/>
              </w:rPr>
              <w:t>,</w:t>
            </w:r>
          </w:p>
          <w:p w14:paraId="608E6322" w14:textId="6F5A7B74" w:rsidR="005414C1" w:rsidRPr="00547037" w:rsidRDefault="00D8552C" w:rsidP="00936004">
            <w:pPr>
              <w:pStyle w:val="ListParagraph"/>
              <w:numPr>
                <w:ilvl w:val="0"/>
                <w:numId w:val="3"/>
              </w:numPr>
              <w:spacing w:before="8" w:after="8"/>
              <w:rPr>
                <w:rFonts w:asciiTheme="majorHAnsi" w:hAnsiTheme="majorHAnsi" w:cstheme="majorHAnsi"/>
                <w:sz w:val="20"/>
                <w:szCs w:val="20"/>
              </w:rPr>
            </w:pPr>
            <w:r>
              <w:rPr>
                <w:rFonts w:asciiTheme="majorHAnsi" w:hAnsiTheme="majorHAnsi" w:cstheme="majorHAnsi"/>
                <w:sz w:val="20"/>
                <w:szCs w:val="20"/>
              </w:rPr>
              <w:t>nötrofil sayımını yaptırmanın mevcut koşullarda pratik ve güvenli bir yolunun olmaması, ve</w:t>
            </w:r>
          </w:p>
          <w:p w14:paraId="6A021093" w14:textId="119ED9D5" w:rsidR="00D8552C" w:rsidRDefault="00D8552C" w:rsidP="00936004">
            <w:pPr>
              <w:pStyle w:val="ListParagraph"/>
              <w:numPr>
                <w:ilvl w:val="0"/>
                <w:numId w:val="3"/>
              </w:numPr>
              <w:spacing w:before="8" w:after="8"/>
              <w:rPr>
                <w:rFonts w:asciiTheme="majorHAnsi" w:hAnsiTheme="majorHAnsi" w:cstheme="majorHAnsi"/>
                <w:sz w:val="20"/>
                <w:szCs w:val="20"/>
              </w:rPr>
            </w:pPr>
            <w:r>
              <w:rPr>
                <w:rFonts w:asciiTheme="majorHAnsi" w:hAnsiTheme="majorHAnsi" w:cstheme="majorHAnsi"/>
                <w:sz w:val="20"/>
                <w:szCs w:val="20"/>
              </w:rPr>
              <w:t>klozapin tedavisinin kesilmesi halinde yüksek klinik kötüleşme riskine sahip olmak</w:t>
            </w:r>
          </w:p>
          <w:p w14:paraId="161783F8" w14:textId="77777777" w:rsidR="00D8552C" w:rsidRDefault="00D8552C" w:rsidP="00936004">
            <w:pPr>
              <w:spacing w:before="8" w:after="8"/>
              <w:rPr>
                <w:rFonts w:asciiTheme="majorHAnsi" w:hAnsiTheme="majorHAnsi" w:cstheme="majorHAnsi"/>
                <w:b/>
                <w:bCs/>
                <w:sz w:val="20"/>
                <w:szCs w:val="20"/>
              </w:rPr>
            </w:pPr>
          </w:p>
          <w:p w14:paraId="090424DB" w14:textId="66133317" w:rsidR="00C306BF" w:rsidRDefault="000723FE" w:rsidP="009F45C4">
            <w:pPr>
              <w:spacing w:before="8" w:after="8"/>
              <w:rPr>
                <w:rFonts w:asciiTheme="majorHAnsi" w:hAnsiTheme="majorHAnsi" w:cstheme="majorHAnsi"/>
                <w:sz w:val="20"/>
                <w:szCs w:val="20"/>
              </w:rPr>
            </w:pPr>
            <w:r>
              <w:rPr>
                <w:rFonts w:asciiTheme="majorHAnsi" w:hAnsiTheme="majorHAnsi" w:cstheme="majorHAnsi"/>
                <w:b/>
                <w:bCs/>
                <w:sz w:val="20"/>
                <w:szCs w:val="20"/>
              </w:rPr>
              <w:t xml:space="preserve">yakın tarihli </w:t>
            </w:r>
            <w:r w:rsidR="00D8552C">
              <w:rPr>
                <w:rFonts w:asciiTheme="majorHAnsi" w:hAnsiTheme="majorHAnsi" w:cstheme="majorHAnsi"/>
                <w:b/>
                <w:bCs/>
                <w:sz w:val="20"/>
                <w:szCs w:val="20"/>
              </w:rPr>
              <w:t xml:space="preserve">bir nötrofil sayımı olmasa da klozapin tedavisine devam edilebilir. </w:t>
            </w:r>
            <w:r w:rsidR="00C306BF">
              <w:rPr>
                <w:rFonts w:asciiTheme="majorHAnsi" w:hAnsiTheme="majorHAnsi" w:cstheme="majorHAnsi"/>
                <w:sz w:val="20"/>
                <w:szCs w:val="20"/>
              </w:rPr>
              <w:t xml:space="preserve">Örn. bu durumda, pratikte, tam kan sayımının geçerliliği 12 haftaya kadar uzatılabilir, </w:t>
            </w:r>
            <w:r w:rsidR="00C306BF" w:rsidRPr="0010527A">
              <w:rPr>
                <w:rFonts w:asciiTheme="majorHAnsi" w:hAnsiTheme="majorHAnsi" w:cstheme="majorHAnsi"/>
                <w:sz w:val="20"/>
                <w:szCs w:val="20"/>
              </w:rPr>
              <w:t xml:space="preserve">yani en son normal tam kan sayımından sonra maksimum 12 haftalık </w:t>
            </w:r>
            <w:r w:rsidR="0010527A" w:rsidRPr="0010527A">
              <w:rPr>
                <w:rFonts w:asciiTheme="majorHAnsi" w:hAnsiTheme="majorHAnsi" w:cstheme="majorHAnsi"/>
                <w:sz w:val="20"/>
                <w:szCs w:val="20"/>
              </w:rPr>
              <w:t>olacak şekilde hastaya ilaç reçete</w:t>
            </w:r>
            <w:r w:rsidR="00C306BF" w:rsidRPr="0010527A">
              <w:rPr>
                <w:rFonts w:asciiTheme="majorHAnsi" w:hAnsiTheme="majorHAnsi" w:cstheme="majorHAnsi"/>
                <w:sz w:val="20"/>
                <w:szCs w:val="20"/>
              </w:rPr>
              <w:t xml:space="preserve"> edilebilir.</w:t>
            </w:r>
            <w:r w:rsidR="00C306BF">
              <w:rPr>
                <w:rFonts w:asciiTheme="majorHAnsi" w:hAnsiTheme="majorHAnsi" w:cstheme="majorHAnsi"/>
                <w:sz w:val="20"/>
                <w:szCs w:val="20"/>
              </w:rPr>
              <w:t xml:space="preserve"> </w:t>
            </w:r>
          </w:p>
          <w:p w14:paraId="099BE8DA" w14:textId="51E175B1" w:rsidR="0010527A" w:rsidRDefault="0010527A" w:rsidP="009F45C4">
            <w:pPr>
              <w:spacing w:before="8" w:after="8"/>
              <w:rPr>
                <w:rFonts w:asciiTheme="majorHAnsi" w:hAnsiTheme="majorHAnsi" w:cstheme="majorHAnsi"/>
                <w:b/>
                <w:bCs/>
                <w:i/>
                <w:sz w:val="20"/>
                <w:szCs w:val="20"/>
              </w:rPr>
            </w:pPr>
          </w:p>
          <w:p w14:paraId="1DE9223E" w14:textId="04B630D9" w:rsidR="00352780" w:rsidRPr="00352780" w:rsidRDefault="00352780" w:rsidP="009F45C4">
            <w:pPr>
              <w:spacing w:before="8" w:after="8"/>
              <w:rPr>
                <w:rFonts w:asciiTheme="majorHAnsi" w:hAnsiTheme="majorHAnsi" w:cstheme="majorHAnsi"/>
                <w:b/>
                <w:bCs/>
                <w:i/>
                <w:sz w:val="20"/>
                <w:szCs w:val="20"/>
              </w:rPr>
            </w:pPr>
            <w:r w:rsidRPr="00352780">
              <w:rPr>
                <w:rFonts w:asciiTheme="majorHAnsi" w:hAnsiTheme="majorHAnsi" w:cstheme="majorHAnsi"/>
                <w:i/>
                <w:sz w:val="20"/>
                <w:szCs w:val="20"/>
              </w:rPr>
              <w:t xml:space="preserve">(Not: Türkiye’de de COVID-19 sürecinde klozapin monitorizasyonu uygulaması ile ilgili, </w:t>
            </w:r>
            <w:hyperlink r:id="rId27" w:history="1">
              <w:r>
                <w:rPr>
                  <w:rStyle w:val="Hyperlink"/>
                  <w:rFonts w:asciiTheme="majorHAnsi" w:hAnsiTheme="majorHAnsi" w:cstheme="majorHAnsi"/>
                  <w:i/>
                  <w:sz w:val="20"/>
                  <w:szCs w:val="20"/>
                </w:rPr>
                <w:t>Türkiye Psikiyatri Derneği</w:t>
              </w:r>
              <w:r w:rsidRPr="00352780">
                <w:rPr>
                  <w:rStyle w:val="Hyperlink"/>
                  <w:rFonts w:asciiTheme="majorHAnsi" w:hAnsiTheme="majorHAnsi" w:cstheme="majorHAnsi"/>
                  <w:i/>
                  <w:sz w:val="20"/>
                  <w:szCs w:val="20"/>
                </w:rPr>
                <w:t>’nin</w:t>
              </w:r>
              <w:r>
                <w:rPr>
                  <w:rStyle w:val="Hyperlink"/>
                  <w:rFonts w:asciiTheme="majorHAnsi" w:hAnsiTheme="majorHAnsi" w:cstheme="majorHAnsi"/>
                  <w:i/>
                  <w:sz w:val="20"/>
                  <w:szCs w:val="20"/>
                </w:rPr>
                <w:t xml:space="preserve"> önerilerine </w:t>
              </w:r>
              <w:r w:rsidRPr="00352780">
                <w:rPr>
                  <w:rStyle w:val="Hyperlink"/>
                  <w:rFonts w:asciiTheme="majorHAnsi" w:hAnsiTheme="majorHAnsi" w:cstheme="majorHAnsi"/>
                  <w:i/>
                  <w:sz w:val="20"/>
                  <w:szCs w:val="20"/>
                </w:rPr>
                <w:t>göre</w:t>
              </w:r>
            </w:hyperlink>
            <w:r w:rsidRPr="00352780">
              <w:rPr>
                <w:rFonts w:asciiTheme="majorHAnsi" w:hAnsiTheme="majorHAnsi" w:cstheme="majorHAnsi"/>
                <w:i/>
                <w:sz w:val="20"/>
                <w:szCs w:val="20"/>
              </w:rPr>
              <w:t xml:space="preserve">; </w:t>
            </w:r>
            <w:r w:rsidRPr="00352780">
              <w:rPr>
                <w:rFonts w:asciiTheme="majorHAnsi" w:hAnsiTheme="majorHAnsi"/>
                <w:i/>
                <w:sz w:val="20"/>
                <w:szCs w:val="20"/>
                <w:lang w:eastAsia="en-GB"/>
              </w:rPr>
              <w:t>en az bir yıldır düzenli klozapin kullanan ve düzenli aylık kontrollerde hemogramında herhangi bir bozulma saptanmamış bir hastada (Beyaz küre ≥ 3500 veya nötrofil ≥ 2000) kan kontrolü sıklığı</w:t>
            </w:r>
            <w:r w:rsidR="002A2103">
              <w:rPr>
                <w:rFonts w:asciiTheme="majorHAnsi" w:hAnsiTheme="majorHAnsi"/>
                <w:i/>
                <w:sz w:val="20"/>
                <w:szCs w:val="20"/>
                <w:lang w:eastAsia="en-GB"/>
              </w:rPr>
              <w:t>nın</w:t>
            </w:r>
            <w:r w:rsidRPr="00352780">
              <w:rPr>
                <w:rFonts w:asciiTheme="majorHAnsi" w:hAnsiTheme="majorHAnsi"/>
                <w:i/>
                <w:sz w:val="20"/>
                <w:szCs w:val="20"/>
                <w:lang w:eastAsia="en-GB"/>
              </w:rPr>
              <w:t xml:space="preserve"> 3 aya çıkarılabileceği belirtilmektedir.</w:t>
            </w:r>
            <w:r>
              <w:rPr>
                <w:rFonts w:asciiTheme="majorHAnsi" w:hAnsiTheme="majorHAnsi"/>
                <w:i/>
                <w:sz w:val="20"/>
                <w:szCs w:val="20"/>
                <w:lang w:eastAsia="en-GB"/>
              </w:rPr>
              <w:t>)</w:t>
            </w:r>
          </w:p>
          <w:p w14:paraId="2790669A" w14:textId="77777777" w:rsidR="00C306BF" w:rsidRDefault="00C306BF" w:rsidP="009F45C4">
            <w:pPr>
              <w:spacing w:before="8" w:after="8"/>
              <w:rPr>
                <w:rFonts w:asciiTheme="majorHAnsi" w:hAnsiTheme="majorHAnsi" w:cstheme="majorHAnsi"/>
                <w:sz w:val="20"/>
                <w:szCs w:val="20"/>
              </w:rPr>
            </w:pPr>
          </w:p>
          <w:p w14:paraId="3DF3BFD2" w14:textId="43D38EB1" w:rsidR="00C306BF" w:rsidRPr="0067285B" w:rsidRDefault="00C306BF" w:rsidP="009F45C4">
            <w:pPr>
              <w:spacing w:before="8" w:after="8"/>
              <w:rPr>
                <w:rFonts w:asciiTheme="majorHAnsi" w:hAnsiTheme="majorHAnsi" w:cstheme="majorHAnsi"/>
                <w:b/>
                <w:sz w:val="20"/>
                <w:szCs w:val="20"/>
              </w:rPr>
            </w:pPr>
            <w:r w:rsidRPr="0067285B">
              <w:rPr>
                <w:rFonts w:asciiTheme="majorHAnsi" w:hAnsiTheme="majorHAnsi" w:cstheme="majorHAnsi"/>
                <w:b/>
                <w:sz w:val="20"/>
                <w:szCs w:val="20"/>
              </w:rPr>
              <w:t xml:space="preserve">Ancak lütfen, klozapini </w:t>
            </w:r>
            <w:r w:rsidR="00DF5CF1" w:rsidRPr="0067285B">
              <w:rPr>
                <w:rFonts w:asciiTheme="majorHAnsi" w:hAnsiTheme="majorHAnsi" w:cstheme="majorHAnsi"/>
                <w:b/>
                <w:sz w:val="20"/>
                <w:szCs w:val="20"/>
              </w:rPr>
              <w:t xml:space="preserve">aylık </w:t>
            </w:r>
            <w:r w:rsidRPr="0067285B">
              <w:rPr>
                <w:rFonts w:asciiTheme="majorHAnsi" w:hAnsiTheme="majorHAnsi" w:cstheme="majorHAnsi"/>
                <w:b/>
                <w:sz w:val="20"/>
                <w:szCs w:val="20"/>
              </w:rPr>
              <w:t>tam kan sayım</w:t>
            </w:r>
            <w:r w:rsidR="00DF5CF1" w:rsidRPr="0067285B">
              <w:rPr>
                <w:rFonts w:asciiTheme="majorHAnsi" w:hAnsiTheme="majorHAnsi" w:cstheme="majorHAnsi"/>
                <w:b/>
                <w:sz w:val="20"/>
                <w:szCs w:val="20"/>
              </w:rPr>
              <w:t>ları dışında</w:t>
            </w:r>
            <w:r w:rsidRPr="0067285B">
              <w:rPr>
                <w:rFonts w:asciiTheme="majorHAnsi" w:hAnsiTheme="majorHAnsi" w:cstheme="majorHAnsi"/>
                <w:b/>
                <w:sz w:val="20"/>
                <w:szCs w:val="20"/>
              </w:rPr>
              <w:t xml:space="preserve"> reçete etmenin lisans dışı olduğunu akılda tutun.</w:t>
            </w:r>
          </w:p>
          <w:p w14:paraId="5E0F407C" w14:textId="0A29CF2F" w:rsidR="004C2BFF" w:rsidRDefault="004C2BFF" w:rsidP="009F45C4">
            <w:pPr>
              <w:spacing w:before="8" w:after="8"/>
              <w:rPr>
                <w:rFonts w:asciiTheme="majorHAnsi" w:hAnsiTheme="majorHAnsi" w:cstheme="majorHAnsi"/>
                <w:b/>
                <w:bCs/>
                <w:sz w:val="20"/>
                <w:szCs w:val="20"/>
              </w:rPr>
            </w:pPr>
          </w:p>
          <w:p w14:paraId="59331F6E" w14:textId="3F9735E5" w:rsidR="004C2BFF" w:rsidRPr="006B474C" w:rsidRDefault="00C306BF" w:rsidP="004C2BFF">
            <w:pPr>
              <w:spacing w:before="8" w:after="8"/>
              <w:rPr>
                <w:rFonts w:asciiTheme="majorHAnsi" w:hAnsiTheme="majorHAnsi" w:cstheme="majorHAnsi"/>
                <w:sz w:val="20"/>
                <w:szCs w:val="20"/>
                <w14:glow w14:rad="0">
                  <w14:schemeClr w14:val="bg1"/>
                </w14:glow>
                <w14:textOutline w14:w="9525" w14:cap="rnd" w14:cmpd="sng" w14:algn="ctr">
                  <w14:noFill/>
                  <w14:prstDash w14:val="solid"/>
                  <w14:bevel/>
                </w14:textOutline>
              </w:rPr>
            </w:pPr>
            <w:r>
              <w:rPr>
                <w:rFonts w:asciiTheme="majorHAnsi" w:hAnsiTheme="majorHAnsi" w:cstheme="majorHAnsi"/>
                <w:sz w:val="20"/>
                <w:szCs w:val="20"/>
                <w14:glow w14:rad="0">
                  <w14:schemeClr w14:val="bg1"/>
                </w14:glow>
                <w14:textOutline w14:w="9525" w14:cap="rnd" w14:cmpd="sng" w14:algn="ctr">
                  <w14:noFill/>
                  <w14:prstDash w14:val="solid"/>
                  <w14:bevel/>
                </w14:textOutline>
              </w:rPr>
              <w:t>6- 12 aydır klozapine devam etmekte olan hastalarda mutlak nötrofil sayısı monitorizasyonu ile ilgili kararlar vaka bazında yapılabilir.</w:t>
            </w:r>
          </w:p>
          <w:p w14:paraId="076D72F0" w14:textId="77777777" w:rsidR="00C306BF" w:rsidRDefault="00C306BF" w:rsidP="009F45C4">
            <w:pPr>
              <w:spacing w:before="8" w:after="8"/>
              <w:rPr>
                <w:rFonts w:asciiTheme="majorHAnsi" w:hAnsiTheme="majorHAnsi" w:cstheme="majorHAnsi"/>
                <w:sz w:val="20"/>
                <w:szCs w:val="20"/>
              </w:rPr>
            </w:pPr>
          </w:p>
          <w:p w14:paraId="00FDF467" w14:textId="7A1B23EE" w:rsidR="004C2BFF" w:rsidRDefault="00C306BF" w:rsidP="009F45C4">
            <w:pPr>
              <w:spacing w:before="8" w:after="8"/>
              <w:rPr>
                <w:rFonts w:asciiTheme="majorHAnsi" w:hAnsiTheme="majorHAnsi" w:cstheme="majorHAnsi"/>
                <w:sz w:val="20"/>
                <w:szCs w:val="20"/>
              </w:rPr>
            </w:pPr>
            <w:r>
              <w:rPr>
                <w:rFonts w:asciiTheme="majorHAnsi" w:hAnsiTheme="majorHAnsi" w:cstheme="majorHAnsi"/>
                <w:sz w:val="20"/>
                <w:szCs w:val="20"/>
              </w:rPr>
              <w:t>Tam kan monitorizasyonu dışında</w:t>
            </w:r>
            <w:r w:rsidR="00DD353E">
              <w:rPr>
                <w:rFonts w:asciiTheme="majorHAnsi" w:hAnsiTheme="majorHAnsi" w:cstheme="majorHAnsi"/>
                <w:sz w:val="20"/>
                <w:szCs w:val="20"/>
              </w:rPr>
              <w:t xml:space="preserve"> da</w:t>
            </w:r>
            <w:r>
              <w:rPr>
                <w:rFonts w:asciiTheme="majorHAnsi" w:hAnsiTheme="majorHAnsi" w:cstheme="majorHAnsi"/>
                <w:sz w:val="20"/>
                <w:szCs w:val="20"/>
              </w:rPr>
              <w:t xml:space="preserve">, </w:t>
            </w:r>
            <w:r w:rsidRPr="0067285B">
              <w:rPr>
                <w:rFonts w:asciiTheme="majorHAnsi" w:hAnsiTheme="majorHAnsi" w:cstheme="majorHAnsi"/>
                <w:b/>
                <w:sz w:val="20"/>
                <w:szCs w:val="20"/>
              </w:rPr>
              <w:t>klozapin kullanan hastaların yüzyüze veya telesağlık konsultasyonu aracılığı ile, düzenli klinik takiplerine devam etmesi ve olası ilaç yan etkileri bakımından izlenmesi gerekmektedir</w:t>
            </w:r>
            <w:r>
              <w:rPr>
                <w:rFonts w:asciiTheme="majorHAnsi" w:hAnsiTheme="majorHAnsi" w:cstheme="majorHAnsi"/>
                <w:sz w:val="20"/>
                <w:szCs w:val="20"/>
              </w:rPr>
              <w:t xml:space="preserve">. </w:t>
            </w:r>
          </w:p>
          <w:p w14:paraId="7E3E6D80" w14:textId="3BFBB412" w:rsidR="00F237AB" w:rsidRDefault="00F237AB" w:rsidP="009F45C4">
            <w:pPr>
              <w:spacing w:before="8" w:after="8"/>
              <w:rPr>
                <w:rFonts w:asciiTheme="majorHAnsi" w:hAnsiTheme="majorHAnsi" w:cstheme="majorHAnsi"/>
                <w:sz w:val="20"/>
                <w:szCs w:val="20"/>
              </w:rPr>
            </w:pPr>
          </w:p>
          <w:p w14:paraId="4237F805" w14:textId="2F45DD2F" w:rsidR="00F237AB" w:rsidRDefault="00F237AB" w:rsidP="009F45C4">
            <w:pPr>
              <w:spacing w:before="8" w:after="8"/>
              <w:rPr>
                <w:rFonts w:asciiTheme="majorHAnsi" w:hAnsiTheme="majorHAnsi" w:cstheme="majorHAnsi"/>
                <w:sz w:val="20"/>
                <w:szCs w:val="20"/>
              </w:rPr>
            </w:pPr>
            <w:r w:rsidRPr="00F237AB">
              <w:rPr>
                <w:rFonts w:asciiTheme="majorHAnsi" w:hAnsiTheme="majorHAnsi" w:cstheme="majorHAnsi"/>
                <w:sz w:val="20"/>
                <w:szCs w:val="20"/>
              </w:rPr>
              <w:t xml:space="preserve">Birleşik Krallık'ta, </w:t>
            </w:r>
            <w:r>
              <w:rPr>
                <w:rFonts w:asciiTheme="majorHAnsi" w:hAnsiTheme="majorHAnsi" w:cstheme="majorHAnsi"/>
                <w:sz w:val="20"/>
                <w:szCs w:val="20"/>
              </w:rPr>
              <w:t>şu anda,</w:t>
            </w:r>
            <w:r w:rsidRPr="00F237AB">
              <w:rPr>
                <w:rFonts w:asciiTheme="majorHAnsi" w:hAnsiTheme="majorHAnsi" w:cstheme="majorHAnsi"/>
                <w:sz w:val="20"/>
                <w:szCs w:val="20"/>
              </w:rPr>
              <w:t xml:space="preserve"> aşağıdaki klinik durumlarda klozapin toksisite</w:t>
            </w:r>
            <w:r>
              <w:rPr>
                <w:rFonts w:asciiTheme="majorHAnsi" w:hAnsiTheme="majorHAnsi" w:cstheme="majorHAnsi"/>
                <w:sz w:val="20"/>
                <w:szCs w:val="20"/>
              </w:rPr>
              <w:t>si</w:t>
            </w:r>
            <w:r w:rsidRPr="00F237AB">
              <w:rPr>
                <w:rFonts w:asciiTheme="majorHAnsi" w:hAnsiTheme="majorHAnsi" w:cstheme="majorHAnsi"/>
                <w:sz w:val="20"/>
                <w:szCs w:val="20"/>
              </w:rPr>
              <w:t xml:space="preserve"> </w:t>
            </w:r>
            <w:r>
              <w:rPr>
                <w:rFonts w:asciiTheme="majorHAnsi" w:hAnsiTheme="majorHAnsi" w:cstheme="majorHAnsi"/>
                <w:sz w:val="20"/>
                <w:szCs w:val="20"/>
              </w:rPr>
              <w:t>açısından</w:t>
            </w:r>
            <w:r w:rsidRPr="00F237AB">
              <w:rPr>
                <w:rFonts w:asciiTheme="majorHAnsi" w:hAnsiTheme="majorHAnsi" w:cstheme="majorHAnsi"/>
                <w:sz w:val="20"/>
                <w:szCs w:val="20"/>
              </w:rPr>
              <w:t xml:space="preserve"> kan </w:t>
            </w:r>
            <w:r>
              <w:rPr>
                <w:rFonts w:asciiTheme="majorHAnsi" w:hAnsiTheme="majorHAnsi" w:cstheme="majorHAnsi"/>
                <w:sz w:val="20"/>
                <w:szCs w:val="20"/>
              </w:rPr>
              <w:t>düzeylerinin</w:t>
            </w:r>
            <w:r w:rsidRPr="00F237AB">
              <w:rPr>
                <w:rFonts w:asciiTheme="majorHAnsi" w:hAnsiTheme="majorHAnsi" w:cstheme="majorHAnsi"/>
                <w:sz w:val="20"/>
                <w:szCs w:val="20"/>
              </w:rPr>
              <w:t xml:space="preserve"> izlenmesi tavsiye edilmektedir:</w:t>
            </w:r>
          </w:p>
          <w:p w14:paraId="26432DEA" w14:textId="54487072" w:rsidR="00F237AB" w:rsidRDefault="00F237AB" w:rsidP="00F237AB">
            <w:pPr>
              <w:pStyle w:val="ListParagraph"/>
              <w:numPr>
                <w:ilvl w:val="0"/>
                <w:numId w:val="5"/>
              </w:numPr>
              <w:spacing w:before="8" w:after="8"/>
              <w:rPr>
                <w:rFonts w:asciiTheme="majorHAnsi" w:hAnsiTheme="majorHAnsi" w:cstheme="majorHAnsi"/>
                <w:sz w:val="20"/>
                <w:szCs w:val="20"/>
              </w:rPr>
            </w:pPr>
            <w:r>
              <w:rPr>
                <w:rFonts w:asciiTheme="majorHAnsi" w:hAnsiTheme="majorHAnsi" w:cstheme="majorHAnsi"/>
                <w:sz w:val="20"/>
                <w:szCs w:val="20"/>
              </w:rPr>
              <w:t>hasta sigarayı bırakırsa veya elektronik sigaraya geçerse,</w:t>
            </w:r>
          </w:p>
          <w:p w14:paraId="0B7B501E" w14:textId="7A0EADDC" w:rsidR="00F237AB" w:rsidRDefault="00F237AB" w:rsidP="00F237AB">
            <w:pPr>
              <w:pStyle w:val="ListParagraph"/>
              <w:numPr>
                <w:ilvl w:val="0"/>
                <w:numId w:val="5"/>
              </w:numPr>
              <w:spacing w:before="8" w:after="8"/>
              <w:rPr>
                <w:rFonts w:asciiTheme="majorHAnsi" w:hAnsiTheme="majorHAnsi" w:cstheme="majorHAnsi"/>
                <w:sz w:val="20"/>
                <w:szCs w:val="20"/>
              </w:rPr>
            </w:pPr>
            <w:r>
              <w:rPr>
                <w:rFonts w:asciiTheme="majorHAnsi" w:hAnsiTheme="majorHAnsi" w:cstheme="majorHAnsi"/>
                <w:sz w:val="20"/>
                <w:szCs w:val="20"/>
              </w:rPr>
              <w:t xml:space="preserve">klozapin kan düzeyini artırabilecek başka ilaç kullanımı varsa, </w:t>
            </w:r>
          </w:p>
          <w:p w14:paraId="2030D912" w14:textId="203B7603" w:rsidR="00F237AB" w:rsidRDefault="00F237AB" w:rsidP="00F237AB">
            <w:pPr>
              <w:pStyle w:val="ListParagraph"/>
              <w:numPr>
                <w:ilvl w:val="0"/>
                <w:numId w:val="5"/>
              </w:numPr>
              <w:spacing w:before="8" w:after="8"/>
              <w:rPr>
                <w:rFonts w:asciiTheme="majorHAnsi" w:hAnsiTheme="majorHAnsi" w:cstheme="majorHAnsi"/>
                <w:sz w:val="20"/>
                <w:szCs w:val="20"/>
              </w:rPr>
            </w:pPr>
            <w:r>
              <w:rPr>
                <w:rFonts w:asciiTheme="majorHAnsi" w:hAnsiTheme="majorHAnsi" w:cstheme="majorHAnsi"/>
                <w:sz w:val="20"/>
                <w:szCs w:val="20"/>
              </w:rPr>
              <w:t>pnömoni veya diğer ağır enfeksiyonların varlığında,</w:t>
            </w:r>
          </w:p>
          <w:p w14:paraId="298BFFCF" w14:textId="54DFA2A9" w:rsidR="00F237AB" w:rsidRDefault="00F237AB" w:rsidP="00F237AB">
            <w:pPr>
              <w:pStyle w:val="ListParagraph"/>
              <w:numPr>
                <w:ilvl w:val="0"/>
                <w:numId w:val="5"/>
              </w:numPr>
              <w:spacing w:before="8" w:after="8"/>
              <w:rPr>
                <w:rFonts w:asciiTheme="majorHAnsi" w:hAnsiTheme="majorHAnsi" w:cstheme="majorHAnsi"/>
                <w:sz w:val="20"/>
                <w:szCs w:val="20"/>
              </w:rPr>
            </w:pPr>
            <w:r>
              <w:rPr>
                <w:rFonts w:asciiTheme="majorHAnsi" w:hAnsiTheme="majorHAnsi" w:cstheme="majorHAnsi"/>
                <w:sz w:val="20"/>
                <w:szCs w:val="20"/>
              </w:rPr>
              <w:t xml:space="preserve">yavaş </w:t>
            </w:r>
            <w:r w:rsidRPr="00F237AB">
              <w:rPr>
                <w:rFonts w:asciiTheme="majorHAnsi" w:hAnsiTheme="majorHAnsi" w:cstheme="majorHAnsi"/>
                <w:sz w:val="20"/>
                <w:szCs w:val="20"/>
              </w:rPr>
              <w:t>(azalmış) klozapin metaboliz</w:t>
            </w:r>
            <w:r>
              <w:rPr>
                <w:rFonts w:asciiTheme="majorHAnsi" w:hAnsiTheme="majorHAnsi" w:cstheme="majorHAnsi"/>
                <w:sz w:val="20"/>
                <w:szCs w:val="20"/>
              </w:rPr>
              <w:t>asyonundan</w:t>
            </w:r>
            <w:r w:rsidRPr="00F237AB">
              <w:rPr>
                <w:rFonts w:asciiTheme="majorHAnsi" w:hAnsiTheme="majorHAnsi" w:cstheme="majorHAnsi"/>
                <w:sz w:val="20"/>
                <w:szCs w:val="20"/>
              </w:rPr>
              <w:t xml:space="preserve"> şüphelenil</w:t>
            </w:r>
            <w:r>
              <w:rPr>
                <w:rFonts w:asciiTheme="majorHAnsi" w:hAnsiTheme="majorHAnsi" w:cstheme="majorHAnsi"/>
                <w:sz w:val="20"/>
                <w:szCs w:val="20"/>
              </w:rPr>
              <w:t>iyorsa,</w:t>
            </w:r>
          </w:p>
          <w:p w14:paraId="7CC33142" w14:textId="6DFB0882" w:rsidR="00F237AB" w:rsidRPr="00F237AB" w:rsidRDefault="00F237AB" w:rsidP="00F237AB">
            <w:pPr>
              <w:pStyle w:val="ListParagraph"/>
              <w:numPr>
                <w:ilvl w:val="0"/>
                <w:numId w:val="5"/>
              </w:numPr>
              <w:spacing w:before="8" w:after="8"/>
              <w:rPr>
                <w:rFonts w:asciiTheme="majorHAnsi" w:hAnsiTheme="majorHAnsi" w:cstheme="majorHAnsi"/>
                <w:sz w:val="20"/>
                <w:szCs w:val="20"/>
              </w:rPr>
            </w:pPr>
            <w:r>
              <w:rPr>
                <w:rFonts w:asciiTheme="majorHAnsi" w:hAnsiTheme="majorHAnsi" w:cstheme="majorHAnsi"/>
                <w:sz w:val="20"/>
                <w:szCs w:val="20"/>
              </w:rPr>
              <w:t>toksisiteden şüpheleniyorsa</w:t>
            </w:r>
          </w:p>
          <w:p w14:paraId="55C61E03" w14:textId="71F69804" w:rsidR="00F1242C" w:rsidRPr="00547037" w:rsidRDefault="00F1242C" w:rsidP="00140D08">
            <w:pPr>
              <w:spacing w:before="8" w:after="8"/>
              <w:rPr>
                <w:rFonts w:asciiTheme="majorHAnsi" w:hAnsiTheme="majorHAnsi" w:cstheme="majorHAnsi"/>
                <w:sz w:val="20"/>
                <w:szCs w:val="20"/>
              </w:rPr>
            </w:pPr>
          </w:p>
        </w:tc>
      </w:tr>
      <w:tr w:rsidR="00435323" w:rsidRPr="00547037" w14:paraId="18C15AD8" w14:textId="77777777" w:rsidTr="00D54077">
        <w:tc>
          <w:tcPr>
            <w:tcW w:w="1148" w:type="pct"/>
            <w:tcBorders>
              <w:top w:val="nil"/>
              <w:left w:val="single" w:sz="48" w:space="0" w:color="E2F2FF"/>
              <w:bottom w:val="nil"/>
              <w:right w:val="nil"/>
            </w:tcBorders>
          </w:tcPr>
          <w:p w14:paraId="4ECD89B9" w14:textId="740E16CE" w:rsidR="00435323" w:rsidRPr="006126FB" w:rsidRDefault="00435323" w:rsidP="00435323">
            <w:pPr>
              <w:spacing w:before="8" w:after="8"/>
              <w:rPr>
                <w:rFonts w:asciiTheme="majorHAnsi" w:hAnsiTheme="majorHAnsi" w:cstheme="majorHAnsi"/>
                <w:b/>
                <w:bCs/>
                <w:sz w:val="20"/>
                <w:szCs w:val="20"/>
                <w:lang w:val="tr-TR"/>
              </w:rPr>
            </w:pPr>
            <w:r>
              <w:rPr>
                <w:rFonts w:asciiTheme="majorHAnsi" w:hAnsiTheme="majorHAnsi" w:cstheme="majorHAnsi"/>
                <w:b/>
                <w:bCs/>
                <w:sz w:val="20"/>
                <w:szCs w:val="20"/>
              </w:rPr>
              <w:t>Self-</w:t>
            </w:r>
            <w:r>
              <w:rPr>
                <w:rFonts w:asciiTheme="majorHAnsi" w:hAnsiTheme="majorHAnsi" w:cstheme="majorHAnsi"/>
                <w:b/>
                <w:bCs/>
                <w:sz w:val="20"/>
                <w:szCs w:val="20"/>
                <w:lang w:val="tr-TR"/>
              </w:rPr>
              <w:t>izolasyondaki</w:t>
            </w:r>
            <w:r w:rsidR="00163586">
              <w:rPr>
                <w:rFonts w:asciiTheme="majorHAnsi" w:hAnsiTheme="majorHAnsi" w:cstheme="majorHAnsi"/>
                <w:b/>
                <w:bCs/>
                <w:sz w:val="20"/>
                <w:szCs w:val="20"/>
                <w:lang w:val="tr-TR"/>
              </w:rPr>
              <w:t xml:space="preserve"> hastalarda kan tetkikleri nasıl yapılmalı</w:t>
            </w:r>
            <w:r>
              <w:rPr>
                <w:rFonts w:asciiTheme="majorHAnsi" w:hAnsiTheme="majorHAnsi" w:cstheme="majorHAnsi"/>
                <w:b/>
                <w:bCs/>
                <w:sz w:val="20"/>
                <w:szCs w:val="20"/>
                <w:lang w:val="tr-TR"/>
              </w:rPr>
              <w:t>?</w:t>
            </w:r>
          </w:p>
          <w:p w14:paraId="2DFD5D21" w14:textId="3E295F64" w:rsidR="00435323" w:rsidRPr="00547037" w:rsidRDefault="00435323" w:rsidP="00435323">
            <w:pPr>
              <w:spacing w:before="8" w:after="8"/>
              <w:rPr>
                <w:rFonts w:asciiTheme="majorHAnsi" w:hAnsiTheme="majorHAnsi" w:cstheme="majorHAnsi"/>
                <w:b/>
                <w:bCs/>
                <w:sz w:val="20"/>
                <w:szCs w:val="20"/>
              </w:rPr>
            </w:pPr>
            <w:r w:rsidRPr="00547037">
              <w:rPr>
                <w:rFonts w:asciiTheme="majorHAnsi" w:hAnsiTheme="majorHAnsi" w:cstheme="majorHAnsi"/>
                <w:sz w:val="20"/>
                <w:szCs w:val="20"/>
              </w:rPr>
              <w:t>[</w:t>
            </w:r>
            <w:hyperlink r:id="rId28"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4</w:t>
            </w:r>
            <w:r w:rsidRPr="00547037">
              <w:rPr>
                <w:rFonts w:asciiTheme="majorHAnsi" w:hAnsiTheme="majorHAnsi" w:cstheme="majorHAnsi"/>
                <w:sz w:val="20"/>
                <w:szCs w:val="20"/>
              </w:rPr>
              <w:t>]</w:t>
            </w:r>
          </w:p>
        </w:tc>
        <w:tc>
          <w:tcPr>
            <w:tcW w:w="3852" w:type="pct"/>
            <w:tcBorders>
              <w:top w:val="nil"/>
              <w:left w:val="nil"/>
              <w:bottom w:val="nil"/>
              <w:right w:val="single" w:sz="48" w:space="0" w:color="E2F2FF"/>
            </w:tcBorders>
          </w:tcPr>
          <w:p w14:paraId="543D495B" w14:textId="2F907B73" w:rsidR="00435323" w:rsidRDefault="00435323" w:rsidP="00435323">
            <w:pPr>
              <w:spacing w:before="8" w:after="8"/>
              <w:rPr>
                <w:rFonts w:asciiTheme="majorHAnsi" w:hAnsiTheme="majorHAnsi" w:cstheme="majorHAnsi"/>
                <w:sz w:val="20"/>
                <w:szCs w:val="20"/>
              </w:rPr>
            </w:pPr>
            <w:r>
              <w:rPr>
                <w:rFonts w:asciiTheme="majorHAnsi" w:hAnsiTheme="majorHAnsi" w:cstheme="majorHAnsi"/>
                <w:sz w:val="20"/>
                <w:szCs w:val="20"/>
              </w:rPr>
              <w:t xml:space="preserve">Ruh sağlığı ekipleri, klozapin kullanan hastalarda rutin kan testlerinin yapılması gibi </w:t>
            </w:r>
            <w:r w:rsidRPr="00435323">
              <w:rPr>
                <w:rFonts w:asciiTheme="majorHAnsi" w:hAnsiTheme="majorHAnsi" w:cstheme="majorHAnsi"/>
                <w:sz w:val="20"/>
                <w:szCs w:val="20"/>
              </w:rPr>
              <w:t xml:space="preserve">tedavinin </w:t>
            </w:r>
            <w:r>
              <w:rPr>
                <w:rFonts w:asciiTheme="majorHAnsi" w:hAnsiTheme="majorHAnsi" w:cstheme="majorHAnsi"/>
                <w:sz w:val="20"/>
                <w:szCs w:val="20"/>
              </w:rPr>
              <w:t xml:space="preserve">bazı </w:t>
            </w:r>
            <w:r w:rsidRPr="00435323">
              <w:rPr>
                <w:rFonts w:asciiTheme="majorHAnsi" w:hAnsiTheme="majorHAnsi" w:cstheme="majorHAnsi"/>
                <w:sz w:val="20"/>
                <w:szCs w:val="20"/>
              </w:rPr>
              <w:t>kritik yönlerinin</w:t>
            </w:r>
            <w:r>
              <w:rPr>
                <w:rFonts w:asciiTheme="majorHAnsi" w:hAnsiTheme="majorHAnsi" w:cstheme="majorHAnsi"/>
                <w:sz w:val="20"/>
                <w:szCs w:val="20"/>
              </w:rPr>
              <w:t xml:space="preserve"> bu süreçte nasıl </w:t>
            </w:r>
            <w:r w:rsidR="00163586">
              <w:rPr>
                <w:rFonts w:asciiTheme="majorHAnsi" w:hAnsiTheme="majorHAnsi" w:cstheme="majorHAnsi"/>
                <w:sz w:val="20"/>
                <w:szCs w:val="20"/>
              </w:rPr>
              <w:t>sürdürülebileceğini gözden geçirmelidir.</w:t>
            </w:r>
          </w:p>
          <w:p w14:paraId="4E341395" w14:textId="77777777" w:rsidR="00435323" w:rsidRDefault="00435323" w:rsidP="00435323">
            <w:pPr>
              <w:spacing w:before="8" w:after="8"/>
              <w:rPr>
                <w:rFonts w:asciiTheme="majorHAnsi" w:hAnsiTheme="majorHAnsi" w:cstheme="majorHAnsi"/>
                <w:sz w:val="20"/>
                <w:szCs w:val="20"/>
              </w:rPr>
            </w:pPr>
          </w:p>
          <w:p w14:paraId="3EE007B5" w14:textId="0943291B" w:rsidR="00435323" w:rsidRDefault="00435323" w:rsidP="00435323">
            <w:pPr>
              <w:spacing w:before="8" w:after="8"/>
              <w:rPr>
                <w:rFonts w:asciiTheme="majorHAnsi" w:hAnsiTheme="majorHAnsi" w:cstheme="majorHAnsi"/>
                <w:sz w:val="20"/>
                <w:szCs w:val="20"/>
              </w:rPr>
            </w:pPr>
            <w:r>
              <w:rPr>
                <w:rFonts w:asciiTheme="majorHAnsi" w:hAnsiTheme="majorHAnsi" w:cstheme="majorHAnsi"/>
                <w:sz w:val="20"/>
                <w:szCs w:val="20"/>
              </w:rPr>
              <w:t>Has</w:t>
            </w:r>
            <w:r w:rsidR="0067285B">
              <w:rPr>
                <w:rFonts w:asciiTheme="majorHAnsi" w:hAnsiTheme="majorHAnsi" w:cstheme="majorHAnsi"/>
                <w:sz w:val="20"/>
                <w:szCs w:val="20"/>
              </w:rPr>
              <w:t>taların self-izolasyonda olduğu</w:t>
            </w:r>
            <w:r>
              <w:rPr>
                <w:rFonts w:asciiTheme="majorHAnsi" w:hAnsiTheme="majorHAnsi" w:cstheme="majorHAnsi"/>
                <w:sz w:val="20"/>
                <w:szCs w:val="20"/>
              </w:rPr>
              <w:t xml:space="preserve"> ve test için kliniğe gelemediği durumlarda, hastaların rutin tedavi ve izlemlerinin sürdürülebilmesi için </w:t>
            </w:r>
            <w:r w:rsidRPr="0067285B">
              <w:rPr>
                <w:rFonts w:asciiTheme="majorHAnsi" w:hAnsiTheme="majorHAnsi" w:cstheme="majorHAnsi"/>
                <w:b/>
                <w:sz w:val="20"/>
                <w:szCs w:val="20"/>
              </w:rPr>
              <w:t xml:space="preserve">alternatif düzenlemelerin yapılması </w:t>
            </w:r>
            <w:r>
              <w:rPr>
                <w:rFonts w:asciiTheme="majorHAnsi" w:hAnsiTheme="majorHAnsi" w:cstheme="majorHAnsi"/>
                <w:sz w:val="20"/>
                <w:szCs w:val="20"/>
              </w:rPr>
              <w:t>gerekmektedir. Bu</w:t>
            </w:r>
            <w:r w:rsidR="00163586">
              <w:rPr>
                <w:rFonts w:asciiTheme="majorHAnsi" w:hAnsiTheme="majorHAnsi" w:cstheme="majorHAnsi"/>
                <w:sz w:val="20"/>
                <w:szCs w:val="20"/>
              </w:rPr>
              <w:t xml:space="preserve"> amaçla</w:t>
            </w:r>
            <w:r>
              <w:rPr>
                <w:rFonts w:asciiTheme="majorHAnsi" w:hAnsiTheme="majorHAnsi" w:cstheme="majorHAnsi"/>
                <w:sz w:val="20"/>
                <w:szCs w:val="20"/>
              </w:rPr>
              <w:t>, hastaların güvenli bi</w:t>
            </w:r>
            <w:r w:rsidR="00163586">
              <w:rPr>
                <w:rFonts w:asciiTheme="majorHAnsi" w:hAnsiTheme="majorHAnsi" w:cstheme="majorHAnsi"/>
                <w:sz w:val="20"/>
                <w:szCs w:val="20"/>
              </w:rPr>
              <w:t>r şekilde tedaviye devam edebil</w:t>
            </w:r>
            <w:r>
              <w:rPr>
                <w:rFonts w:asciiTheme="majorHAnsi" w:hAnsiTheme="majorHAnsi" w:cstheme="majorHAnsi"/>
                <w:sz w:val="20"/>
                <w:szCs w:val="20"/>
              </w:rPr>
              <w:t xml:space="preserve">mesi için yapılması gereken tetkiklere yönelik </w:t>
            </w:r>
            <w:r w:rsidR="00163586">
              <w:rPr>
                <w:rFonts w:asciiTheme="majorHAnsi" w:hAnsiTheme="majorHAnsi" w:cstheme="majorHAnsi"/>
                <w:sz w:val="20"/>
                <w:szCs w:val="20"/>
              </w:rPr>
              <w:t xml:space="preserve">tedavi ekibi tarafından ev ziyaretleri planlanabilir </w:t>
            </w:r>
            <w:r>
              <w:rPr>
                <w:rFonts w:asciiTheme="majorHAnsi" w:hAnsiTheme="majorHAnsi" w:cstheme="majorHAnsi"/>
                <w:sz w:val="20"/>
                <w:szCs w:val="20"/>
              </w:rPr>
              <w:t xml:space="preserve">(yerel politika ve tavsiyelere bağlı olarak). </w:t>
            </w:r>
          </w:p>
          <w:p w14:paraId="166FFCDC" w14:textId="36B05A5B" w:rsidR="00435323" w:rsidRPr="00547037" w:rsidRDefault="00435323" w:rsidP="00435323">
            <w:pPr>
              <w:spacing w:before="8" w:after="8"/>
              <w:rPr>
                <w:rFonts w:asciiTheme="majorHAnsi" w:eastAsia="Times New Roman" w:hAnsiTheme="majorHAnsi" w:cstheme="majorHAnsi"/>
                <w:color w:val="000000" w:themeColor="text1"/>
                <w:sz w:val="20"/>
                <w:szCs w:val="20"/>
                <w:lang w:eastAsia="ja-JP"/>
              </w:rPr>
            </w:pPr>
          </w:p>
        </w:tc>
      </w:tr>
      <w:tr w:rsidR="00435323" w:rsidRPr="00547037" w14:paraId="6C33B2AB" w14:textId="77777777" w:rsidTr="00D54077">
        <w:tc>
          <w:tcPr>
            <w:tcW w:w="1148" w:type="pct"/>
            <w:tcBorders>
              <w:top w:val="nil"/>
              <w:left w:val="single" w:sz="48" w:space="0" w:color="E2F2FF"/>
              <w:bottom w:val="nil"/>
              <w:right w:val="nil"/>
            </w:tcBorders>
            <w:shd w:val="clear" w:color="auto" w:fill="E2F2FF"/>
          </w:tcPr>
          <w:p w14:paraId="28FF784A" w14:textId="70CC376E" w:rsidR="00435323" w:rsidRDefault="00DD353E" w:rsidP="00435323">
            <w:pPr>
              <w:spacing w:before="8" w:after="8"/>
              <w:rPr>
                <w:rFonts w:asciiTheme="majorHAnsi" w:hAnsiTheme="majorHAnsi" w:cstheme="majorHAnsi"/>
                <w:b/>
                <w:bCs/>
                <w:sz w:val="20"/>
                <w:szCs w:val="20"/>
              </w:rPr>
            </w:pPr>
            <w:r>
              <w:rPr>
                <w:rFonts w:asciiTheme="majorHAnsi" w:hAnsiTheme="majorHAnsi" w:cstheme="majorHAnsi"/>
                <w:b/>
                <w:bCs/>
                <w:sz w:val="20"/>
                <w:szCs w:val="20"/>
              </w:rPr>
              <w:lastRenderedPageBreak/>
              <w:t>Personel</w:t>
            </w:r>
            <w:r w:rsidR="00435323">
              <w:rPr>
                <w:rFonts w:asciiTheme="majorHAnsi" w:hAnsiTheme="majorHAnsi" w:cstheme="majorHAnsi"/>
                <w:b/>
                <w:bCs/>
                <w:sz w:val="20"/>
                <w:szCs w:val="20"/>
              </w:rPr>
              <w:t xml:space="preserve"> eğitiminde herhangi bir değişiklik yapılması gerekir mi?</w:t>
            </w:r>
          </w:p>
          <w:p w14:paraId="6BB68247" w14:textId="77777777" w:rsidR="00435323" w:rsidRPr="00547037" w:rsidRDefault="00435323" w:rsidP="00435323">
            <w:pPr>
              <w:spacing w:before="8" w:after="8"/>
              <w:rPr>
                <w:rFonts w:asciiTheme="majorHAnsi" w:hAnsiTheme="majorHAnsi" w:cstheme="majorHAnsi"/>
                <w:b/>
                <w:bCs/>
                <w:sz w:val="20"/>
                <w:szCs w:val="20"/>
              </w:rPr>
            </w:pPr>
          </w:p>
          <w:p w14:paraId="0CE6BF8F" w14:textId="53B0C980" w:rsidR="00435323" w:rsidRPr="00547037" w:rsidRDefault="00435323" w:rsidP="00435323">
            <w:pPr>
              <w:spacing w:before="8" w:after="8"/>
              <w:rPr>
                <w:rFonts w:asciiTheme="majorHAnsi" w:hAnsiTheme="majorHAnsi" w:cstheme="majorHAnsi"/>
                <w:b/>
                <w:bCs/>
                <w:sz w:val="20"/>
                <w:szCs w:val="20"/>
              </w:rPr>
            </w:pPr>
            <w:r w:rsidRPr="00547037">
              <w:rPr>
                <w:rFonts w:asciiTheme="majorHAnsi" w:hAnsiTheme="majorHAnsi" w:cstheme="majorHAnsi"/>
                <w:sz w:val="20"/>
                <w:szCs w:val="20"/>
              </w:rPr>
              <w:t>[</w:t>
            </w:r>
            <w:hyperlink r:id="rId29"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4</w:t>
            </w:r>
            <w:r w:rsidRPr="00547037">
              <w:rPr>
                <w:rFonts w:asciiTheme="majorHAnsi" w:hAnsiTheme="majorHAnsi" w:cstheme="majorHAnsi"/>
                <w:sz w:val="20"/>
                <w:szCs w:val="20"/>
              </w:rPr>
              <w:t>]</w:t>
            </w:r>
          </w:p>
        </w:tc>
        <w:tc>
          <w:tcPr>
            <w:tcW w:w="3852" w:type="pct"/>
            <w:tcBorders>
              <w:top w:val="nil"/>
              <w:left w:val="nil"/>
              <w:bottom w:val="nil"/>
              <w:right w:val="single" w:sz="48" w:space="0" w:color="E2F2FF"/>
            </w:tcBorders>
            <w:shd w:val="clear" w:color="auto" w:fill="E2F2FF"/>
          </w:tcPr>
          <w:p w14:paraId="40E844FA" w14:textId="77777777" w:rsidR="00DD353E" w:rsidRPr="00796C59" w:rsidRDefault="00DD353E" w:rsidP="00DD353E">
            <w:pPr>
              <w:spacing w:before="8" w:after="8" w:line="233" w:lineRule="auto"/>
              <w:rPr>
                <w:rFonts w:asciiTheme="majorHAnsi" w:eastAsia="Times New Roman" w:hAnsiTheme="majorHAnsi" w:cstheme="majorHAnsi"/>
                <w:color w:val="000000" w:themeColor="text1"/>
                <w:sz w:val="20"/>
                <w:szCs w:val="20"/>
                <w:lang w:eastAsia="ja-JP"/>
              </w:rPr>
            </w:pPr>
            <w:r w:rsidRPr="00D654C0">
              <w:rPr>
                <w:rFonts w:asciiTheme="majorHAnsi" w:eastAsia="Times New Roman" w:hAnsiTheme="majorHAnsi" w:cstheme="majorHAnsi"/>
                <w:color w:val="000000" w:themeColor="text1"/>
                <w:sz w:val="20"/>
                <w:szCs w:val="20"/>
                <w:lang w:eastAsia="ja-JP"/>
              </w:rPr>
              <w:t xml:space="preserve">Zorunlu kan testlerini (ör. klozapin, lityum kullanan hastalarda) sürdürebilmek için yeterli bir personel havuzunun mevcut olduğundan emin olmak maksadıyla </w:t>
            </w:r>
            <w:r w:rsidRPr="00D654C0">
              <w:rPr>
                <w:rFonts w:asciiTheme="majorHAnsi" w:eastAsia="Times New Roman" w:hAnsiTheme="majorHAnsi" w:cstheme="majorHAnsi"/>
                <w:b/>
                <w:bCs/>
                <w:color w:val="000000" w:themeColor="text1"/>
                <w:sz w:val="20"/>
                <w:szCs w:val="20"/>
                <w:lang w:eastAsia="ja-JP"/>
              </w:rPr>
              <w:t>fiziksel sağlık hizmetinin temel yönleri hakkında bilgi tazeleme ve beceri geliştirme eğitimlerini gözden geçirin</w:t>
            </w:r>
            <w:r w:rsidRPr="00D654C0">
              <w:rPr>
                <w:rFonts w:asciiTheme="majorHAnsi" w:eastAsia="Times New Roman" w:hAnsiTheme="majorHAnsi" w:cstheme="majorHAnsi"/>
                <w:color w:val="000000" w:themeColor="text1"/>
                <w:sz w:val="20"/>
                <w:szCs w:val="20"/>
                <w:lang w:eastAsia="ja-JP"/>
              </w:rPr>
              <w:t xml:space="preserve">. Örneğin, diğer sağlık çalışanlarının </w:t>
            </w:r>
            <w:r>
              <w:rPr>
                <w:rFonts w:asciiTheme="majorHAnsi" w:eastAsia="Times New Roman" w:hAnsiTheme="majorHAnsi" w:cstheme="majorHAnsi"/>
                <w:color w:val="000000" w:themeColor="text1"/>
                <w:sz w:val="20"/>
                <w:szCs w:val="20"/>
                <w:lang w:eastAsia="ja-JP"/>
              </w:rPr>
              <w:t>kan alma eğitimi alması</w:t>
            </w:r>
            <w:r w:rsidRPr="00D654C0">
              <w:rPr>
                <w:rFonts w:asciiTheme="majorHAnsi" w:eastAsia="Times New Roman" w:hAnsiTheme="majorHAnsi" w:cstheme="majorHAnsi"/>
                <w:color w:val="000000" w:themeColor="text1"/>
                <w:sz w:val="20"/>
                <w:szCs w:val="20"/>
                <w:lang w:eastAsia="ja-JP"/>
              </w:rPr>
              <w:t xml:space="preserve"> ve enfeksiyon kontrolü konusunda bilgi, becer</w:t>
            </w:r>
            <w:r>
              <w:rPr>
                <w:rFonts w:asciiTheme="majorHAnsi" w:eastAsia="Times New Roman" w:hAnsiTheme="majorHAnsi" w:cstheme="majorHAnsi"/>
                <w:color w:val="000000" w:themeColor="text1"/>
                <w:sz w:val="20"/>
                <w:szCs w:val="20"/>
                <w:lang w:eastAsia="ja-JP"/>
              </w:rPr>
              <w:t>i ve pratiklerinin tazelenmesi</w:t>
            </w:r>
            <w:r w:rsidRPr="00D654C0">
              <w:rPr>
                <w:rFonts w:asciiTheme="majorHAnsi" w:eastAsia="Times New Roman" w:hAnsiTheme="majorHAnsi" w:cstheme="majorHAnsi"/>
                <w:color w:val="000000" w:themeColor="text1"/>
                <w:sz w:val="20"/>
                <w:szCs w:val="20"/>
                <w:lang w:eastAsia="ja-JP"/>
              </w:rPr>
              <w:t xml:space="preserve"> (lütfen yerel ve ulusal önerilere uyunuz).</w:t>
            </w:r>
          </w:p>
          <w:p w14:paraId="0B4F7F7C" w14:textId="7C27E755" w:rsidR="00435323" w:rsidRPr="00547037" w:rsidRDefault="00435323" w:rsidP="00435323">
            <w:pPr>
              <w:spacing w:before="8" w:after="8"/>
              <w:rPr>
                <w:rFonts w:asciiTheme="majorHAnsi" w:hAnsiTheme="majorHAnsi" w:cstheme="majorHAnsi"/>
                <w:sz w:val="20"/>
                <w:szCs w:val="20"/>
              </w:rPr>
            </w:pPr>
          </w:p>
        </w:tc>
      </w:tr>
      <w:tr w:rsidR="00780826" w:rsidRPr="00547037" w14:paraId="4B842167" w14:textId="77777777" w:rsidTr="00D54077">
        <w:tc>
          <w:tcPr>
            <w:tcW w:w="1148" w:type="pct"/>
            <w:tcBorders>
              <w:top w:val="nil"/>
              <w:left w:val="single" w:sz="48" w:space="0" w:color="E2F2FF"/>
              <w:bottom w:val="nil"/>
              <w:right w:val="nil"/>
            </w:tcBorders>
            <w:shd w:val="clear" w:color="auto" w:fill="E2F2FF"/>
          </w:tcPr>
          <w:p w14:paraId="4CC6D541" w14:textId="00E7F188" w:rsidR="00780826" w:rsidRPr="00547037" w:rsidRDefault="00780826" w:rsidP="00360AB2">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49A59CA0" w14:textId="5DC53EF9" w:rsidR="00780826" w:rsidRPr="00547037" w:rsidRDefault="00780826" w:rsidP="00360AB2">
            <w:pPr>
              <w:spacing w:before="8" w:after="8"/>
              <w:rPr>
                <w:rFonts w:asciiTheme="majorHAnsi" w:eastAsia="Times New Roman" w:hAnsiTheme="majorHAnsi" w:cstheme="majorHAnsi"/>
                <w:color w:val="000000" w:themeColor="text1"/>
                <w:sz w:val="20"/>
                <w:szCs w:val="20"/>
                <w:lang w:eastAsia="ja-JP"/>
              </w:rPr>
            </w:pPr>
          </w:p>
        </w:tc>
      </w:tr>
      <w:tr w:rsidR="00780826" w:rsidRPr="00547037" w14:paraId="0F419FFF" w14:textId="77777777" w:rsidTr="00D54077">
        <w:tc>
          <w:tcPr>
            <w:tcW w:w="5000" w:type="pct"/>
            <w:gridSpan w:val="2"/>
            <w:tcBorders>
              <w:top w:val="nil"/>
              <w:left w:val="single" w:sz="48" w:space="0" w:color="E2F2FF"/>
              <w:bottom w:val="nil"/>
              <w:right w:val="single" w:sz="48" w:space="0" w:color="E2F2FF"/>
            </w:tcBorders>
            <w:shd w:val="clear" w:color="auto" w:fill="002147"/>
          </w:tcPr>
          <w:p w14:paraId="597FFFBF" w14:textId="5B18DA99" w:rsidR="00780826" w:rsidRPr="00547037" w:rsidRDefault="00163586" w:rsidP="00163586">
            <w:pPr>
              <w:spacing w:before="8" w:after="8"/>
              <w:rPr>
                <w:rFonts w:asciiTheme="majorHAnsi" w:hAnsiTheme="majorHAnsi" w:cstheme="majorHAnsi"/>
                <w:b/>
                <w:bCs/>
                <w:sz w:val="20"/>
                <w:szCs w:val="20"/>
              </w:rPr>
            </w:pPr>
            <w:r>
              <w:rPr>
                <w:rFonts w:asciiTheme="majorHAnsi" w:hAnsiTheme="majorHAnsi" w:cstheme="majorHAnsi"/>
                <w:b/>
                <w:bCs/>
                <w:sz w:val="20"/>
                <w:szCs w:val="20"/>
              </w:rPr>
              <w:t>Klozapin kullanımı ve COVID-19 enfeksiyonu: Olası ek riskler</w:t>
            </w:r>
          </w:p>
        </w:tc>
      </w:tr>
      <w:tr w:rsidR="00780826" w:rsidRPr="00547037" w14:paraId="4CC730B3" w14:textId="77777777" w:rsidTr="00D54077">
        <w:tc>
          <w:tcPr>
            <w:tcW w:w="1148" w:type="pct"/>
            <w:tcBorders>
              <w:top w:val="nil"/>
              <w:left w:val="single" w:sz="48" w:space="0" w:color="E2F2FF"/>
              <w:bottom w:val="nil"/>
              <w:right w:val="nil"/>
            </w:tcBorders>
          </w:tcPr>
          <w:p w14:paraId="460A6ECE" w14:textId="06D3E4C4" w:rsidR="00780826" w:rsidRPr="00547037" w:rsidRDefault="00780826" w:rsidP="00780826">
            <w:pPr>
              <w:spacing w:before="8" w:after="8"/>
              <w:rPr>
                <w:rFonts w:asciiTheme="majorHAnsi" w:hAnsiTheme="majorHAnsi" w:cstheme="majorHAnsi"/>
                <w:b/>
                <w:bCs/>
                <w:sz w:val="20"/>
                <w:szCs w:val="20"/>
              </w:rPr>
            </w:pPr>
            <w:r>
              <w:rPr>
                <w:rFonts w:asciiTheme="majorHAnsi" w:hAnsiTheme="majorHAnsi" w:cstheme="majorHAnsi"/>
                <w:b/>
                <w:bCs/>
                <w:sz w:val="20"/>
                <w:szCs w:val="20"/>
              </w:rPr>
              <w:t>COVID-19 enfeksiyonu klozapin kan düzeylerini etkiler mi</w:t>
            </w:r>
            <w:r w:rsidRPr="00547037">
              <w:rPr>
                <w:rFonts w:asciiTheme="majorHAnsi" w:hAnsiTheme="majorHAnsi" w:cstheme="majorHAnsi"/>
                <w:b/>
                <w:bCs/>
                <w:sz w:val="20"/>
                <w:szCs w:val="20"/>
              </w:rPr>
              <w:t>?</w:t>
            </w:r>
          </w:p>
          <w:p w14:paraId="1949A3F7" w14:textId="77777777" w:rsidR="00780826" w:rsidRDefault="00780826" w:rsidP="00780826">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30" w:history="1">
              <w:r w:rsidRPr="00547037">
                <w:rPr>
                  <w:rStyle w:val="Hyperlink"/>
                  <w:rFonts w:asciiTheme="majorHAnsi" w:hAnsiTheme="majorHAnsi" w:cstheme="majorHAnsi"/>
                  <w:sz w:val="20"/>
                  <w:szCs w:val="20"/>
                </w:rPr>
                <w:t>link</w:t>
              </w:r>
            </w:hyperlink>
            <w:r w:rsidRPr="00547037">
              <w:rPr>
                <w:rStyle w:val="Hyperlink"/>
                <w:rFonts w:asciiTheme="majorHAnsi" w:hAnsiTheme="majorHAnsi" w:cstheme="majorHAnsi"/>
                <w:sz w:val="20"/>
                <w:szCs w:val="20"/>
              </w:rPr>
              <w:t>3</w:t>
            </w:r>
            <w:r w:rsidRPr="00547037">
              <w:rPr>
                <w:rFonts w:asciiTheme="majorHAnsi" w:hAnsiTheme="majorHAnsi" w:cstheme="majorHAnsi"/>
                <w:sz w:val="20"/>
                <w:szCs w:val="20"/>
              </w:rPr>
              <w:t>]</w:t>
            </w:r>
          </w:p>
          <w:p w14:paraId="4FB82BA5" w14:textId="676F3CAB" w:rsidR="008A7449" w:rsidRPr="00547037" w:rsidRDefault="008A7449" w:rsidP="00780826">
            <w:pPr>
              <w:spacing w:before="8" w:after="8"/>
              <w:rPr>
                <w:rFonts w:asciiTheme="majorHAnsi" w:hAnsiTheme="majorHAnsi" w:cstheme="majorHAnsi"/>
                <w:sz w:val="20"/>
                <w:szCs w:val="20"/>
              </w:rPr>
            </w:pPr>
            <w:r w:rsidRPr="004C2BFF">
              <w:rPr>
                <w:rFonts w:asciiTheme="majorHAnsi" w:eastAsia="Times New Roman" w:hAnsiTheme="majorHAnsi" w:cstheme="majorHAnsi"/>
                <w:color w:val="000000" w:themeColor="text1"/>
                <w:sz w:val="20"/>
                <w:szCs w:val="20"/>
                <w:lang w:eastAsia="ja-JP"/>
              </w:rPr>
              <w:t>[</w:t>
            </w:r>
            <w:hyperlink r:id="rId31" w:history="1">
              <w:r w:rsidRPr="004C2BFF">
                <w:rPr>
                  <w:rStyle w:val="Hyperlink"/>
                  <w:rFonts w:asciiTheme="majorHAnsi" w:eastAsia="Times New Roman" w:hAnsiTheme="majorHAnsi" w:cstheme="majorHAnsi"/>
                  <w:sz w:val="20"/>
                  <w:szCs w:val="20"/>
                  <w:lang w:eastAsia="ja-JP"/>
                </w:rPr>
                <w:t>link5</w:t>
              </w:r>
            </w:hyperlink>
            <w:r w:rsidRPr="004C2BFF">
              <w:rPr>
                <w:rFonts w:asciiTheme="majorHAnsi" w:eastAsia="Times New Roman" w:hAnsiTheme="majorHAnsi" w:cstheme="majorHAnsi"/>
                <w:color w:val="000000" w:themeColor="text1"/>
                <w:sz w:val="20"/>
                <w:szCs w:val="20"/>
                <w:lang w:eastAsia="ja-JP"/>
              </w:rPr>
              <w:t>]</w:t>
            </w:r>
          </w:p>
          <w:p w14:paraId="629B82AE" w14:textId="64CDCBA5" w:rsidR="00780826" w:rsidRPr="00547037" w:rsidRDefault="00780826" w:rsidP="00780826">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tcPr>
          <w:p w14:paraId="29EDEB43" w14:textId="77777777" w:rsidR="00780826" w:rsidRDefault="002E627D" w:rsidP="00780826">
            <w:pPr>
              <w:spacing w:before="8" w:after="8"/>
              <w:rPr>
                <w:rFonts w:asciiTheme="majorHAnsi" w:hAnsiTheme="majorHAnsi" w:cstheme="majorHAnsi"/>
                <w:b/>
                <w:bCs/>
                <w:sz w:val="20"/>
                <w:szCs w:val="20"/>
              </w:rPr>
            </w:pPr>
            <w:r>
              <w:rPr>
                <w:rFonts w:asciiTheme="majorHAnsi" w:hAnsiTheme="majorHAnsi" w:cstheme="majorHAnsi"/>
                <w:b/>
                <w:bCs/>
                <w:sz w:val="20"/>
                <w:szCs w:val="20"/>
              </w:rPr>
              <w:t>Ağır enfeksiyon tabloları</w:t>
            </w:r>
            <w:r w:rsidR="00780826">
              <w:rPr>
                <w:rFonts w:asciiTheme="majorHAnsi" w:hAnsiTheme="majorHAnsi" w:cstheme="majorHAnsi"/>
                <w:b/>
                <w:bCs/>
                <w:sz w:val="20"/>
                <w:szCs w:val="20"/>
              </w:rPr>
              <w:t xml:space="preserve">, metabolizma üzerindeki direk etkileri dolayısıyla ya da sigara </w:t>
            </w:r>
            <w:r w:rsidR="00C163F6">
              <w:rPr>
                <w:rFonts w:asciiTheme="majorHAnsi" w:hAnsiTheme="majorHAnsi" w:cstheme="majorHAnsi"/>
                <w:b/>
                <w:bCs/>
                <w:sz w:val="20"/>
                <w:szCs w:val="20"/>
              </w:rPr>
              <w:t xml:space="preserve">kullanımını </w:t>
            </w:r>
            <w:r w:rsidR="00780826">
              <w:rPr>
                <w:rFonts w:asciiTheme="majorHAnsi" w:hAnsiTheme="majorHAnsi" w:cstheme="majorHAnsi"/>
                <w:b/>
                <w:bCs/>
                <w:sz w:val="20"/>
                <w:szCs w:val="20"/>
              </w:rPr>
              <w:t xml:space="preserve">bırakmanın hepatik enzim indüksiyonunu tersine çevirmesi nedeniyle (veya her ikisi de) bazen klozapin kan düzeyinde artış ile ilişkili olabilir. </w:t>
            </w:r>
          </w:p>
          <w:p w14:paraId="27673D69" w14:textId="77777777" w:rsidR="002E627D" w:rsidRDefault="002E627D" w:rsidP="00780826">
            <w:pPr>
              <w:spacing w:before="8" w:after="8"/>
              <w:rPr>
                <w:rFonts w:asciiTheme="majorHAnsi" w:hAnsiTheme="majorHAnsi" w:cstheme="majorHAnsi"/>
                <w:b/>
                <w:bCs/>
                <w:sz w:val="20"/>
                <w:szCs w:val="20"/>
              </w:rPr>
            </w:pPr>
          </w:p>
          <w:p w14:paraId="3EABB757" w14:textId="50A35BE3" w:rsidR="002E627D" w:rsidRDefault="002E627D" w:rsidP="002E627D">
            <w:pPr>
              <w:spacing w:before="8" w:after="8"/>
              <w:rPr>
                <w:rFonts w:asciiTheme="majorHAnsi" w:eastAsia="Times New Roman" w:hAnsiTheme="majorHAnsi" w:cstheme="majorHAnsi"/>
                <w:sz w:val="20"/>
                <w:szCs w:val="20"/>
                <w:lang w:eastAsia="ja-JP"/>
              </w:rPr>
            </w:pPr>
            <w:r>
              <w:rPr>
                <w:rFonts w:asciiTheme="majorHAnsi" w:eastAsia="Times New Roman" w:hAnsiTheme="majorHAnsi" w:cstheme="majorHAnsi"/>
                <w:sz w:val="20"/>
                <w:szCs w:val="20"/>
                <w:lang w:eastAsia="ja-JP"/>
              </w:rPr>
              <w:t xml:space="preserve">Eğer klozapin kullanan hasta ateş ve grip-benzeri semptomlar gösterirse, klozapin toksisitesi belirti ve bulgularının ortaya çıkması klinisyenlerin klozapin dozunu düşürmelerini gerektirebilir. Ateş düştükten sonraki 3 gün boyunca düşük dozda devam edin, sonrasında klozapin dozunu kademeli bir şekilde ateş öncesi dönemdeki doza yükseltin. Özellikle belirli bir doz değişikliğinden sonra, yetersiz yanıt alınması veya beklenmedik yan etkiler gelişmesi halinde mümkünse klozapin kan düzeyine bakılması klinik karar alma süreçlerine yardımcı olacaktır. </w:t>
            </w:r>
          </w:p>
          <w:p w14:paraId="02F12BC6" w14:textId="0630E53E" w:rsidR="002E627D" w:rsidRPr="00495E01" w:rsidRDefault="002E627D" w:rsidP="00780826">
            <w:pPr>
              <w:spacing w:before="8" w:after="8"/>
              <w:rPr>
                <w:rFonts w:asciiTheme="majorHAnsi" w:hAnsiTheme="majorHAnsi" w:cstheme="majorHAnsi"/>
                <w:b/>
                <w:bCs/>
                <w:sz w:val="20"/>
                <w:szCs w:val="20"/>
              </w:rPr>
            </w:pPr>
          </w:p>
        </w:tc>
      </w:tr>
      <w:tr w:rsidR="00780826" w:rsidRPr="00547037" w14:paraId="512C7317" w14:textId="77777777" w:rsidTr="00D54077">
        <w:trPr>
          <w:trHeight w:val="575"/>
        </w:trPr>
        <w:tc>
          <w:tcPr>
            <w:tcW w:w="1148" w:type="pct"/>
            <w:tcBorders>
              <w:top w:val="nil"/>
              <w:left w:val="single" w:sz="48" w:space="0" w:color="E2F2FF"/>
              <w:bottom w:val="nil"/>
              <w:right w:val="nil"/>
            </w:tcBorders>
            <w:shd w:val="clear" w:color="auto" w:fill="E2F2FF"/>
          </w:tcPr>
          <w:p w14:paraId="5E770ACA" w14:textId="77777777" w:rsidR="00780826" w:rsidRDefault="00780826" w:rsidP="00BE2645">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Klozapin kullanan hastalar COVID-19 açısından </w:t>
            </w:r>
            <w:r w:rsidR="00BE2645">
              <w:rPr>
                <w:rFonts w:asciiTheme="majorHAnsi" w:hAnsiTheme="majorHAnsi" w:cstheme="majorHAnsi"/>
                <w:b/>
                <w:bCs/>
                <w:sz w:val="20"/>
                <w:szCs w:val="20"/>
              </w:rPr>
              <w:t>daha fazla risk taşırlar mı</w:t>
            </w:r>
            <w:r w:rsidRPr="00547037">
              <w:rPr>
                <w:rFonts w:asciiTheme="majorHAnsi" w:hAnsiTheme="majorHAnsi" w:cstheme="majorHAnsi"/>
                <w:b/>
                <w:bCs/>
                <w:sz w:val="20"/>
                <w:szCs w:val="20"/>
              </w:rPr>
              <w:t>?</w:t>
            </w:r>
          </w:p>
          <w:p w14:paraId="0B00044D" w14:textId="15FD8BAA" w:rsidR="000B00CE" w:rsidRPr="000B00CE" w:rsidRDefault="000B00CE" w:rsidP="00BE2645">
            <w:pPr>
              <w:spacing w:before="8" w:after="8"/>
              <w:rPr>
                <w:rFonts w:asciiTheme="majorHAnsi" w:hAnsiTheme="majorHAnsi" w:cstheme="majorHAnsi"/>
                <w:sz w:val="20"/>
                <w:szCs w:val="20"/>
              </w:rPr>
            </w:pPr>
            <w:hyperlink r:id="rId32" w:history="1">
              <w:r w:rsidRPr="000B00CE">
                <w:rPr>
                  <w:rStyle w:val="Hyperlink"/>
                  <w:rFonts w:asciiTheme="majorHAnsi" w:hAnsiTheme="majorHAnsi" w:cstheme="majorHAnsi"/>
                  <w:sz w:val="20"/>
                  <w:szCs w:val="20"/>
                </w:rPr>
                <w:t>[link</w:t>
              </w:r>
              <w:r w:rsidRPr="000B00CE">
                <w:rPr>
                  <w:rStyle w:val="Hyperlink"/>
                  <w:rFonts w:asciiTheme="majorHAnsi" w:hAnsiTheme="majorHAnsi" w:cstheme="majorHAnsi"/>
                  <w:sz w:val="20"/>
                  <w:szCs w:val="20"/>
                </w:rPr>
                <w:t>1</w:t>
              </w:r>
              <w:r w:rsidRPr="000B00CE">
                <w:rPr>
                  <w:rStyle w:val="Hyperlink"/>
                  <w:rFonts w:asciiTheme="majorHAnsi" w:hAnsiTheme="majorHAnsi" w:cstheme="majorHAnsi"/>
                  <w:sz w:val="20"/>
                  <w:szCs w:val="20"/>
                </w:rPr>
                <w:t>2]</w:t>
              </w:r>
            </w:hyperlink>
          </w:p>
          <w:p w14:paraId="0FFC42D6" w14:textId="245EC61C" w:rsidR="000B00CE" w:rsidRPr="00547037" w:rsidRDefault="000B00CE" w:rsidP="00BE2645">
            <w:pPr>
              <w:spacing w:before="8" w:after="8"/>
              <w:rPr>
                <w:rFonts w:asciiTheme="majorHAnsi" w:hAnsiTheme="majorHAnsi" w:cstheme="majorHAnsi"/>
                <w:b/>
                <w:bCs/>
                <w:sz w:val="20"/>
                <w:szCs w:val="20"/>
              </w:rPr>
            </w:pPr>
            <w:r w:rsidRPr="000B00CE">
              <w:rPr>
                <w:rFonts w:asciiTheme="majorHAnsi" w:hAnsiTheme="majorHAnsi" w:cstheme="majorHAnsi"/>
                <w:sz w:val="20"/>
                <w:szCs w:val="20"/>
              </w:rPr>
              <w:t>[</w:t>
            </w:r>
            <w:hyperlink r:id="rId33" w:history="1">
              <w:r w:rsidRPr="000B00CE">
                <w:rPr>
                  <w:rStyle w:val="Hyperlink"/>
                  <w:rFonts w:asciiTheme="majorHAnsi" w:hAnsiTheme="majorHAnsi" w:cstheme="majorHAnsi"/>
                  <w:sz w:val="20"/>
                  <w:szCs w:val="20"/>
                </w:rPr>
                <w:t>lin</w:t>
              </w:r>
              <w:r w:rsidRPr="000B00CE">
                <w:rPr>
                  <w:rStyle w:val="Hyperlink"/>
                  <w:rFonts w:asciiTheme="majorHAnsi" w:hAnsiTheme="majorHAnsi" w:cstheme="majorHAnsi"/>
                  <w:sz w:val="20"/>
                  <w:szCs w:val="20"/>
                </w:rPr>
                <w:t>k</w:t>
              </w:r>
              <w:r w:rsidRPr="000B00CE">
                <w:rPr>
                  <w:rStyle w:val="Hyperlink"/>
                  <w:rFonts w:asciiTheme="majorHAnsi" w:hAnsiTheme="majorHAnsi" w:cstheme="majorHAnsi"/>
                  <w:sz w:val="20"/>
                  <w:szCs w:val="20"/>
                </w:rPr>
                <w:t>13</w:t>
              </w:r>
            </w:hyperlink>
            <w:r w:rsidRPr="000B00CE">
              <w:rPr>
                <w:rFonts w:asciiTheme="majorHAnsi" w:hAnsiTheme="majorHAnsi" w:cstheme="majorHAnsi"/>
                <w:sz w:val="20"/>
                <w:szCs w:val="20"/>
              </w:rPr>
              <w:t>]</w:t>
            </w:r>
          </w:p>
        </w:tc>
        <w:tc>
          <w:tcPr>
            <w:tcW w:w="3852" w:type="pct"/>
            <w:tcBorders>
              <w:top w:val="nil"/>
              <w:left w:val="nil"/>
              <w:bottom w:val="nil"/>
              <w:right w:val="single" w:sz="48" w:space="0" w:color="E2F2FF"/>
            </w:tcBorders>
            <w:shd w:val="clear" w:color="auto" w:fill="E2F2FF"/>
          </w:tcPr>
          <w:p w14:paraId="5B9CCD61" w14:textId="0ADAD7CF" w:rsidR="00780826" w:rsidRDefault="00BE2645" w:rsidP="00780826">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Henüz </w:t>
            </w:r>
            <w:r w:rsidRPr="00BE2645">
              <w:rPr>
                <w:rFonts w:asciiTheme="majorHAnsi" w:hAnsiTheme="majorHAnsi" w:cstheme="majorHAnsi"/>
                <w:b/>
                <w:bCs/>
                <w:sz w:val="20"/>
                <w:szCs w:val="20"/>
              </w:rPr>
              <w:t>n</w:t>
            </w:r>
            <w:r w:rsidR="00780826" w:rsidRPr="00BE2645">
              <w:rPr>
                <w:rFonts w:asciiTheme="majorHAnsi" w:hAnsiTheme="majorHAnsi" w:cstheme="majorHAnsi"/>
                <w:b/>
                <w:bCs/>
                <w:sz w:val="20"/>
                <w:szCs w:val="20"/>
              </w:rPr>
              <w:t xml:space="preserve">et </w:t>
            </w:r>
            <w:r w:rsidRPr="00BE2645">
              <w:rPr>
                <w:rFonts w:asciiTheme="majorHAnsi" w:hAnsiTheme="majorHAnsi" w:cstheme="majorHAnsi"/>
                <w:b/>
                <w:bCs/>
                <w:sz w:val="20"/>
                <w:szCs w:val="20"/>
              </w:rPr>
              <w:t xml:space="preserve">bir bilgi </w:t>
            </w:r>
            <w:r w:rsidR="00780826" w:rsidRPr="00BE2645">
              <w:rPr>
                <w:rFonts w:asciiTheme="majorHAnsi" w:hAnsiTheme="majorHAnsi" w:cstheme="majorHAnsi"/>
                <w:b/>
                <w:bCs/>
                <w:sz w:val="20"/>
                <w:szCs w:val="20"/>
              </w:rPr>
              <w:t>yoktur.</w:t>
            </w:r>
            <w:r w:rsidR="00780826">
              <w:rPr>
                <w:rFonts w:asciiTheme="majorHAnsi" w:hAnsiTheme="majorHAnsi" w:cstheme="majorHAnsi"/>
                <w:b/>
                <w:bCs/>
                <w:sz w:val="20"/>
                <w:szCs w:val="20"/>
              </w:rPr>
              <w:t xml:space="preserve"> </w:t>
            </w:r>
          </w:p>
          <w:p w14:paraId="0895E849" w14:textId="79FCE1F4" w:rsidR="008A6EAE" w:rsidRDefault="008A6EAE" w:rsidP="00780826">
            <w:pPr>
              <w:spacing w:before="8" w:after="8"/>
              <w:rPr>
                <w:rFonts w:asciiTheme="majorHAnsi" w:hAnsiTheme="majorHAnsi" w:cstheme="majorHAnsi"/>
                <w:b/>
                <w:bCs/>
                <w:sz w:val="20"/>
                <w:szCs w:val="20"/>
              </w:rPr>
            </w:pPr>
          </w:p>
          <w:p w14:paraId="757538A3" w14:textId="46140377" w:rsidR="008A6EAE" w:rsidRPr="00547037" w:rsidRDefault="008A6EAE" w:rsidP="00780826">
            <w:pPr>
              <w:spacing w:before="8" w:after="8"/>
              <w:rPr>
                <w:rFonts w:asciiTheme="majorHAnsi" w:hAnsiTheme="majorHAnsi" w:cstheme="majorHAnsi"/>
                <w:sz w:val="20"/>
                <w:szCs w:val="20"/>
              </w:rPr>
            </w:pPr>
            <w:r w:rsidRPr="008A6EAE">
              <w:rPr>
                <w:rFonts w:asciiTheme="majorHAnsi" w:hAnsiTheme="majorHAnsi" w:cstheme="majorHAnsi"/>
                <w:sz w:val="20"/>
                <w:szCs w:val="20"/>
              </w:rPr>
              <w:t>Şizofreni spektrum</w:t>
            </w:r>
            <w:r>
              <w:rPr>
                <w:rFonts w:asciiTheme="majorHAnsi" w:hAnsiTheme="majorHAnsi" w:cstheme="majorHAnsi"/>
                <w:sz w:val="20"/>
                <w:szCs w:val="20"/>
              </w:rPr>
              <w:t xml:space="preserve"> bozukluğu</w:t>
            </w:r>
            <w:r w:rsidRPr="008A6EAE">
              <w:rPr>
                <w:rFonts w:asciiTheme="majorHAnsi" w:hAnsiTheme="majorHAnsi" w:cstheme="majorHAnsi"/>
                <w:sz w:val="20"/>
                <w:szCs w:val="20"/>
              </w:rPr>
              <w:t xml:space="preserve"> tanısı olan 6309 hasta (102'si COVID-19 pozitif)</w:t>
            </w:r>
            <w:r>
              <w:rPr>
                <w:rFonts w:asciiTheme="majorHAnsi" w:hAnsiTheme="majorHAnsi" w:cstheme="majorHAnsi"/>
                <w:sz w:val="20"/>
                <w:szCs w:val="20"/>
              </w:rPr>
              <w:t xml:space="preserve"> </w:t>
            </w:r>
            <w:r w:rsidRPr="008A6EAE">
              <w:rPr>
                <w:rFonts w:asciiTheme="majorHAnsi" w:hAnsiTheme="majorHAnsi" w:cstheme="majorHAnsi"/>
                <w:sz w:val="20"/>
                <w:szCs w:val="20"/>
              </w:rPr>
              <w:t xml:space="preserve">üzerinde yapılan retrospektif bir çalışma, klozapin kullanan bireylerin diğer antipsikotik ilaç kullananlara kıyasla COVID-19 enfeksiyonu riskinin arttığını </w:t>
            </w:r>
            <w:r>
              <w:rPr>
                <w:rFonts w:asciiTheme="majorHAnsi" w:hAnsiTheme="majorHAnsi" w:cstheme="majorHAnsi"/>
                <w:sz w:val="20"/>
                <w:szCs w:val="20"/>
              </w:rPr>
              <w:t>göstermiştir</w:t>
            </w:r>
            <w:r w:rsidRPr="008A6EAE">
              <w:rPr>
                <w:rFonts w:asciiTheme="majorHAnsi" w:hAnsiTheme="majorHAnsi" w:cstheme="majorHAnsi"/>
                <w:sz w:val="20"/>
                <w:szCs w:val="20"/>
              </w:rPr>
              <w:t xml:space="preserve"> (unadjusted hazard ratio</w:t>
            </w:r>
            <w:r w:rsidRPr="008A6EAE">
              <w:rPr>
                <w:rFonts w:asciiTheme="majorHAnsi" w:hAnsiTheme="majorHAnsi" w:cstheme="majorHAnsi"/>
                <w:sz w:val="20"/>
                <w:szCs w:val="20"/>
              </w:rPr>
              <w:t xml:space="preserve"> </w:t>
            </w:r>
            <w:r w:rsidRPr="008A6EAE">
              <w:rPr>
                <w:rFonts w:asciiTheme="majorHAnsi" w:hAnsiTheme="majorHAnsi" w:cstheme="majorHAnsi"/>
                <w:sz w:val="20"/>
                <w:szCs w:val="20"/>
              </w:rPr>
              <w:t xml:space="preserve">= 2.62,% 95 CI 1.73–3.96), </w:t>
            </w:r>
            <w:r>
              <w:rPr>
                <w:rFonts w:asciiTheme="majorHAnsi" w:hAnsiTheme="majorHAnsi" w:cstheme="majorHAnsi"/>
                <w:sz w:val="20"/>
                <w:szCs w:val="20"/>
              </w:rPr>
              <w:t>ancak hastanelerle temasın</w:t>
            </w:r>
            <w:r w:rsidRPr="008A6EAE">
              <w:rPr>
                <w:rFonts w:asciiTheme="majorHAnsi" w:hAnsiTheme="majorHAnsi" w:cstheme="majorHAnsi"/>
                <w:sz w:val="20"/>
                <w:szCs w:val="20"/>
              </w:rPr>
              <w:t xml:space="preserve"> da dahil ol</w:t>
            </w:r>
            <w:r>
              <w:rPr>
                <w:rFonts w:asciiTheme="majorHAnsi" w:hAnsiTheme="majorHAnsi" w:cstheme="majorHAnsi"/>
                <w:sz w:val="20"/>
                <w:szCs w:val="20"/>
              </w:rPr>
              <w:t xml:space="preserve">duğu </w:t>
            </w:r>
            <w:r w:rsidRPr="008A6EAE">
              <w:rPr>
                <w:rFonts w:asciiTheme="majorHAnsi" w:hAnsiTheme="majorHAnsi" w:cstheme="majorHAnsi"/>
                <w:sz w:val="20"/>
                <w:szCs w:val="20"/>
              </w:rPr>
              <w:t>potansiyel karıştırıcı</w:t>
            </w:r>
            <w:r>
              <w:rPr>
                <w:rFonts w:asciiTheme="majorHAnsi" w:hAnsiTheme="majorHAnsi" w:cstheme="majorHAnsi"/>
                <w:sz w:val="20"/>
                <w:szCs w:val="20"/>
              </w:rPr>
              <w:t xml:space="preserve"> faktörler göz önünde bulundurulduğunda </w:t>
            </w:r>
            <w:r>
              <w:rPr>
                <w:rFonts w:asciiTheme="majorHAnsi" w:hAnsiTheme="majorHAnsi" w:cstheme="majorHAnsi"/>
                <w:sz w:val="20"/>
                <w:szCs w:val="20"/>
              </w:rPr>
              <w:t xml:space="preserve">bu risk </w:t>
            </w:r>
            <w:r>
              <w:rPr>
                <w:rFonts w:asciiTheme="majorHAnsi" w:hAnsiTheme="majorHAnsi" w:cstheme="majorHAnsi"/>
                <w:sz w:val="20"/>
                <w:szCs w:val="20"/>
              </w:rPr>
              <w:t xml:space="preserve">azalmaktadır </w:t>
            </w:r>
            <w:r w:rsidRPr="008A6EAE">
              <w:rPr>
                <w:rFonts w:asciiTheme="majorHAnsi" w:hAnsiTheme="majorHAnsi" w:cstheme="majorHAnsi"/>
                <w:sz w:val="20"/>
                <w:szCs w:val="20"/>
              </w:rPr>
              <w:t>(a</w:t>
            </w:r>
            <w:r>
              <w:rPr>
                <w:rFonts w:asciiTheme="majorHAnsi" w:hAnsiTheme="majorHAnsi" w:cstheme="majorHAnsi"/>
                <w:sz w:val="20"/>
                <w:szCs w:val="20"/>
              </w:rPr>
              <w:t>djusted</w:t>
            </w:r>
            <w:r w:rsidRPr="008A6EAE">
              <w:rPr>
                <w:rFonts w:asciiTheme="majorHAnsi" w:hAnsiTheme="majorHAnsi" w:cstheme="majorHAnsi"/>
                <w:sz w:val="20"/>
                <w:szCs w:val="20"/>
              </w:rPr>
              <w:t xml:space="preserve"> HR = 1.76,% 95 CI 1.14–2.72).</w:t>
            </w:r>
          </w:p>
          <w:p w14:paraId="297FE093" w14:textId="77777777" w:rsidR="00780826" w:rsidRPr="00547037" w:rsidRDefault="00780826" w:rsidP="00780826">
            <w:pPr>
              <w:spacing w:before="8" w:after="8"/>
              <w:rPr>
                <w:rFonts w:asciiTheme="majorHAnsi" w:hAnsiTheme="majorHAnsi" w:cstheme="majorHAnsi"/>
                <w:sz w:val="20"/>
                <w:szCs w:val="20"/>
              </w:rPr>
            </w:pPr>
          </w:p>
          <w:p w14:paraId="37C3BE75" w14:textId="5572F2E2" w:rsidR="00780826" w:rsidRDefault="00BE2645" w:rsidP="00780826">
            <w:pPr>
              <w:spacing w:before="8" w:after="8"/>
              <w:rPr>
                <w:rFonts w:asciiTheme="majorHAnsi" w:hAnsiTheme="majorHAnsi" w:cstheme="majorHAnsi"/>
                <w:sz w:val="20"/>
                <w:szCs w:val="20"/>
              </w:rPr>
            </w:pPr>
            <w:r w:rsidRPr="00BE2645">
              <w:rPr>
                <w:rFonts w:asciiTheme="majorHAnsi" w:hAnsiTheme="majorHAnsi" w:cstheme="majorHAnsi"/>
                <w:sz w:val="20"/>
                <w:szCs w:val="20"/>
              </w:rPr>
              <w:t xml:space="preserve">Bu konudaki tartışmalarla ilişkili olarak </w:t>
            </w:r>
            <w:r w:rsidRPr="000B00CE">
              <w:rPr>
                <w:rFonts w:asciiTheme="majorHAnsi" w:hAnsiTheme="majorHAnsi" w:cstheme="majorHAnsi"/>
                <w:sz w:val="20"/>
                <w:szCs w:val="20"/>
              </w:rPr>
              <w:t>bağlantıdaki</w:t>
            </w:r>
            <w:r w:rsidRPr="00BE2645">
              <w:rPr>
                <w:rFonts w:asciiTheme="majorHAnsi" w:hAnsiTheme="majorHAnsi" w:cstheme="majorHAnsi"/>
                <w:sz w:val="20"/>
                <w:szCs w:val="20"/>
              </w:rPr>
              <w:t xml:space="preserve"> yay</w:t>
            </w:r>
            <w:r w:rsidR="000B00CE">
              <w:rPr>
                <w:rFonts w:asciiTheme="majorHAnsi" w:hAnsiTheme="majorHAnsi" w:cstheme="majorHAnsi"/>
                <w:sz w:val="20"/>
                <w:szCs w:val="20"/>
                <w:lang w:val="tr-TR"/>
              </w:rPr>
              <w:t>ınl</w:t>
            </w:r>
            <w:r w:rsidR="008A6EAE">
              <w:rPr>
                <w:rFonts w:asciiTheme="majorHAnsi" w:hAnsiTheme="majorHAnsi" w:cstheme="majorHAnsi"/>
                <w:sz w:val="20"/>
                <w:szCs w:val="20"/>
              </w:rPr>
              <w:t>ar</w:t>
            </w:r>
            <w:r w:rsidRPr="00BE2645">
              <w:rPr>
                <w:rFonts w:asciiTheme="majorHAnsi" w:hAnsiTheme="majorHAnsi" w:cstheme="majorHAnsi"/>
                <w:sz w:val="20"/>
                <w:szCs w:val="20"/>
              </w:rPr>
              <w:t xml:space="preserve">a bakın. </w:t>
            </w:r>
          </w:p>
          <w:p w14:paraId="23FAF429" w14:textId="5035B73F" w:rsidR="00780826" w:rsidRPr="00547037" w:rsidRDefault="00780826" w:rsidP="00780826">
            <w:pPr>
              <w:spacing w:before="8" w:after="8"/>
              <w:rPr>
                <w:rFonts w:asciiTheme="majorHAnsi" w:hAnsiTheme="majorHAnsi" w:cstheme="majorHAnsi"/>
                <w:sz w:val="20"/>
                <w:szCs w:val="20"/>
              </w:rPr>
            </w:pPr>
          </w:p>
        </w:tc>
      </w:tr>
    </w:tbl>
    <w:p w14:paraId="7BEF29D7" w14:textId="0DE900BC" w:rsidR="003E2D52" w:rsidRPr="005C0539" w:rsidRDefault="003E2D52" w:rsidP="009C7F48">
      <w:pPr>
        <w:spacing w:before="8" w:after="8" w:line="240" w:lineRule="auto"/>
        <w:rPr>
          <w:rFonts w:asciiTheme="majorHAnsi" w:hAnsiTheme="majorHAnsi" w:cstheme="majorHAnsi"/>
        </w:rPr>
      </w:pPr>
    </w:p>
    <w:sectPr w:rsidR="003E2D52" w:rsidRPr="005C0539" w:rsidSect="00C134AF">
      <w:footerReference w:type="even" r:id="rId34"/>
      <w:footerReference w:type="default" r:id="rId35"/>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4BBAC" w14:textId="77777777" w:rsidR="007C0A48" w:rsidRDefault="007C0A48" w:rsidP="005414C1">
      <w:pPr>
        <w:spacing w:after="0" w:line="240" w:lineRule="auto"/>
      </w:pPr>
      <w:r>
        <w:separator/>
      </w:r>
    </w:p>
  </w:endnote>
  <w:endnote w:type="continuationSeparator" w:id="0">
    <w:p w14:paraId="18EBD04D" w14:textId="77777777" w:rsidR="007C0A48" w:rsidRDefault="007C0A48"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0440190"/>
      <w:docPartObj>
        <w:docPartGallery w:val="Page Numbers (Bottom of Page)"/>
        <w:docPartUnique/>
      </w:docPartObj>
    </w:sdtPr>
    <w:sdtEndPr>
      <w:rPr>
        <w:rStyle w:val="PageNumber"/>
      </w:rPr>
    </w:sdtEndPr>
    <w:sdtContent>
      <w:p w14:paraId="0B82B7AA" w14:textId="3919580B" w:rsidR="009E55CB" w:rsidRDefault="009E55CB" w:rsidP="006F04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8DC92" w14:textId="77777777" w:rsidR="009E55CB" w:rsidRDefault="009E55CB" w:rsidP="009E55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85936"/>
      <w:docPartObj>
        <w:docPartGallery w:val="Page Numbers (Bottom of Page)"/>
        <w:docPartUnique/>
      </w:docPartObj>
    </w:sdtPr>
    <w:sdtEndPr>
      <w:rPr>
        <w:rStyle w:val="PageNumber"/>
      </w:rPr>
    </w:sdtEndPr>
    <w:sdtContent>
      <w:p w14:paraId="445E9BA3" w14:textId="5472B0A7" w:rsidR="009E55CB" w:rsidRDefault="009E55CB" w:rsidP="006F04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69F4">
          <w:rPr>
            <w:rStyle w:val="PageNumber"/>
            <w:noProof/>
          </w:rPr>
          <w:t>2</w:t>
        </w:r>
        <w:r>
          <w:rPr>
            <w:rStyle w:val="PageNumber"/>
          </w:rPr>
          <w:fldChar w:fldCharType="end"/>
        </w:r>
      </w:p>
    </w:sdtContent>
  </w:sdt>
  <w:p w14:paraId="243946D2" w14:textId="77777777" w:rsidR="009E55CB" w:rsidRDefault="009E55CB" w:rsidP="009E55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A118C" w14:textId="77777777" w:rsidR="007C0A48" w:rsidRDefault="007C0A48" w:rsidP="005414C1">
      <w:pPr>
        <w:spacing w:after="0" w:line="240" w:lineRule="auto"/>
      </w:pPr>
      <w:r>
        <w:separator/>
      </w:r>
    </w:p>
  </w:footnote>
  <w:footnote w:type="continuationSeparator" w:id="0">
    <w:p w14:paraId="22652C2D" w14:textId="77777777" w:rsidR="007C0A48" w:rsidRDefault="007C0A48"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BA2"/>
    <w:multiLevelType w:val="hybridMultilevel"/>
    <w:tmpl w:val="B9BC0DC4"/>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A622E29"/>
    <w:multiLevelType w:val="multilevel"/>
    <w:tmpl w:val="B9BC0DC4"/>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5F2052"/>
    <w:multiLevelType w:val="hybridMultilevel"/>
    <w:tmpl w:val="2954E4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4092427"/>
    <w:multiLevelType w:val="hybridMultilevel"/>
    <w:tmpl w:val="4038386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7A444D0E"/>
    <w:multiLevelType w:val="hybridMultilevel"/>
    <w:tmpl w:val="C27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6B"/>
    <w:rsid w:val="00017AFD"/>
    <w:rsid w:val="00025A1C"/>
    <w:rsid w:val="00042FC4"/>
    <w:rsid w:val="000444B6"/>
    <w:rsid w:val="00051E7C"/>
    <w:rsid w:val="0006292C"/>
    <w:rsid w:val="000723FE"/>
    <w:rsid w:val="00081B7E"/>
    <w:rsid w:val="000838F1"/>
    <w:rsid w:val="00090D21"/>
    <w:rsid w:val="000A24EB"/>
    <w:rsid w:val="000A6B77"/>
    <w:rsid w:val="000B00CE"/>
    <w:rsid w:val="000C62C6"/>
    <w:rsid w:val="000D5FDD"/>
    <w:rsid w:val="000D6F50"/>
    <w:rsid w:val="000F144A"/>
    <w:rsid w:val="000F7E38"/>
    <w:rsid w:val="0010527A"/>
    <w:rsid w:val="001169CC"/>
    <w:rsid w:val="00123E52"/>
    <w:rsid w:val="00131D7B"/>
    <w:rsid w:val="00137C5F"/>
    <w:rsid w:val="00140D08"/>
    <w:rsid w:val="00161FE4"/>
    <w:rsid w:val="00163586"/>
    <w:rsid w:val="00171D13"/>
    <w:rsid w:val="00184203"/>
    <w:rsid w:val="00186D2F"/>
    <w:rsid w:val="001B4982"/>
    <w:rsid w:val="002261E3"/>
    <w:rsid w:val="0029236D"/>
    <w:rsid w:val="002962FA"/>
    <w:rsid w:val="002A2103"/>
    <w:rsid w:val="002B0DF7"/>
    <w:rsid w:val="002E627D"/>
    <w:rsid w:val="002F56E6"/>
    <w:rsid w:val="00301BFC"/>
    <w:rsid w:val="00313470"/>
    <w:rsid w:val="0031689D"/>
    <w:rsid w:val="003332CE"/>
    <w:rsid w:val="00342F6A"/>
    <w:rsid w:val="00352780"/>
    <w:rsid w:val="00360AB2"/>
    <w:rsid w:val="00377818"/>
    <w:rsid w:val="00387E13"/>
    <w:rsid w:val="00391F03"/>
    <w:rsid w:val="003B7F8C"/>
    <w:rsid w:val="003C0BBB"/>
    <w:rsid w:val="003E2D52"/>
    <w:rsid w:val="003E46C5"/>
    <w:rsid w:val="003F7DA1"/>
    <w:rsid w:val="004063AE"/>
    <w:rsid w:val="004104AB"/>
    <w:rsid w:val="00431D38"/>
    <w:rsid w:val="00435323"/>
    <w:rsid w:val="00441881"/>
    <w:rsid w:val="0047297E"/>
    <w:rsid w:val="004774FE"/>
    <w:rsid w:val="0048463C"/>
    <w:rsid w:val="00495E01"/>
    <w:rsid w:val="004C28D0"/>
    <w:rsid w:val="004C2BFF"/>
    <w:rsid w:val="004E1AA3"/>
    <w:rsid w:val="004E652D"/>
    <w:rsid w:val="004F0EFC"/>
    <w:rsid w:val="005414C1"/>
    <w:rsid w:val="00547037"/>
    <w:rsid w:val="00551EB8"/>
    <w:rsid w:val="00567488"/>
    <w:rsid w:val="00567A26"/>
    <w:rsid w:val="005A2551"/>
    <w:rsid w:val="005C0539"/>
    <w:rsid w:val="005C0F35"/>
    <w:rsid w:val="005E4AC4"/>
    <w:rsid w:val="006042DA"/>
    <w:rsid w:val="0061082F"/>
    <w:rsid w:val="006126FB"/>
    <w:rsid w:val="006226CE"/>
    <w:rsid w:val="00624F50"/>
    <w:rsid w:val="006376E0"/>
    <w:rsid w:val="00646A2B"/>
    <w:rsid w:val="0065523C"/>
    <w:rsid w:val="00655384"/>
    <w:rsid w:val="0067285B"/>
    <w:rsid w:val="006B474C"/>
    <w:rsid w:val="006D1318"/>
    <w:rsid w:val="00700C35"/>
    <w:rsid w:val="00722151"/>
    <w:rsid w:val="00742DCB"/>
    <w:rsid w:val="00780826"/>
    <w:rsid w:val="0079270C"/>
    <w:rsid w:val="007B386C"/>
    <w:rsid w:val="007B3C2B"/>
    <w:rsid w:val="007B5002"/>
    <w:rsid w:val="007C0A48"/>
    <w:rsid w:val="007C2535"/>
    <w:rsid w:val="007C67B3"/>
    <w:rsid w:val="007E5114"/>
    <w:rsid w:val="007E6E3B"/>
    <w:rsid w:val="007E7456"/>
    <w:rsid w:val="00800475"/>
    <w:rsid w:val="008021B0"/>
    <w:rsid w:val="008339A4"/>
    <w:rsid w:val="00841BB5"/>
    <w:rsid w:val="0086458E"/>
    <w:rsid w:val="008A6EAE"/>
    <w:rsid w:val="008A7449"/>
    <w:rsid w:val="008B0560"/>
    <w:rsid w:val="008D1D90"/>
    <w:rsid w:val="008D24EC"/>
    <w:rsid w:val="008F3F6B"/>
    <w:rsid w:val="0090613C"/>
    <w:rsid w:val="00936004"/>
    <w:rsid w:val="00952DEA"/>
    <w:rsid w:val="00954CB3"/>
    <w:rsid w:val="00957C88"/>
    <w:rsid w:val="009657A2"/>
    <w:rsid w:val="009747AA"/>
    <w:rsid w:val="00983266"/>
    <w:rsid w:val="00984975"/>
    <w:rsid w:val="00993A48"/>
    <w:rsid w:val="00996114"/>
    <w:rsid w:val="009A2DD7"/>
    <w:rsid w:val="009C7F16"/>
    <w:rsid w:val="009C7F48"/>
    <w:rsid w:val="009D4683"/>
    <w:rsid w:val="009E55CB"/>
    <w:rsid w:val="009E5724"/>
    <w:rsid w:val="009F45C4"/>
    <w:rsid w:val="00A0052F"/>
    <w:rsid w:val="00A03419"/>
    <w:rsid w:val="00A2376B"/>
    <w:rsid w:val="00A31CF0"/>
    <w:rsid w:val="00A655AE"/>
    <w:rsid w:val="00A65603"/>
    <w:rsid w:val="00A715F8"/>
    <w:rsid w:val="00A72C9C"/>
    <w:rsid w:val="00A82299"/>
    <w:rsid w:val="00A92B2D"/>
    <w:rsid w:val="00AA0F41"/>
    <w:rsid w:val="00AB65AA"/>
    <w:rsid w:val="00AB788D"/>
    <w:rsid w:val="00AC3020"/>
    <w:rsid w:val="00B04713"/>
    <w:rsid w:val="00B07C04"/>
    <w:rsid w:val="00B1595B"/>
    <w:rsid w:val="00B25571"/>
    <w:rsid w:val="00B3723D"/>
    <w:rsid w:val="00B625F8"/>
    <w:rsid w:val="00B63D72"/>
    <w:rsid w:val="00B67FCF"/>
    <w:rsid w:val="00B77BE1"/>
    <w:rsid w:val="00B90A1B"/>
    <w:rsid w:val="00BC041E"/>
    <w:rsid w:val="00BC3964"/>
    <w:rsid w:val="00BD38C6"/>
    <w:rsid w:val="00BE1DA5"/>
    <w:rsid w:val="00BE2645"/>
    <w:rsid w:val="00BF7071"/>
    <w:rsid w:val="00BF7162"/>
    <w:rsid w:val="00C04270"/>
    <w:rsid w:val="00C134AF"/>
    <w:rsid w:val="00C163F6"/>
    <w:rsid w:val="00C22652"/>
    <w:rsid w:val="00C306BF"/>
    <w:rsid w:val="00C41C4A"/>
    <w:rsid w:val="00CB69F4"/>
    <w:rsid w:val="00CC4410"/>
    <w:rsid w:val="00CD6962"/>
    <w:rsid w:val="00CE7749"/>
    <w:rsid w:val="00CF5D70"/>
    <w:rsid w:val="00CF6A54"/>
    <w:rsid w:val="00D03757"/>
    <w:rsid w:val="00D270F9"/>
    <w:rsid w:val="00D42A0A"/>
    <w:rsid w:val="00D54077"/>
    <w:rsid w:val="00D64631"/>
    <w:rsid w:val="00D732EA"/>
    <w:rsid w:val="00D7471B"/>
    <w:rsid w:val="00D76EA3"/>
    <w:rsid w:val="00D8552C"/>
    <w:rsid w:val="00D91535"/>
    <w:rsid w:val="00DA0E37"/>
    <w:rsid w:val="00DA2974"/>
    <w:rsid w:val="00DB0DB5"/>
    <w:rsid w:val="00DC759D"/>
    <w:rsid w:val="00DD353E"/>
    <w:rsid w:val="00DD3DA2"/>
    <w:rsid w:val="00DF5CF1"/>
    <w:rsid w:val="00E04C0C"/>
    <w:rsid w:val="00E33F64"/>
    <w:rsid w:val="00E5023F"/>
    <w:rsid w:val="00EB1F08"/>
    <w:rsid w:val="00ED75B5"/>
    <w:rsid w:val="00F00004"/>
    <w:rsid w:val="00F1242C"/>
    <w:rsid w:val="00F237AB"/>
    <w:rsid w:val="00F23860"/>
    <w:rsid w:val="00F34A4F"/>
    <w:rsid w:val="00F667B9"/>
    <w:rsid w:val="00F72AE2"/>
    <w:rsid w:val="00F86065"/>
    <w:rsid w:val="00F927EB"/>
    <w:rsid w:val="00FA7730"/>
    <w:rsid w:val="00FD2AB0"/>
    <w:rsid w:val="00FE5639"/>
    <w:rsid w:val="00FF76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974"/>
    <w:rPr>
      <w:color w:val="0563C1" w:themeColor="hyperlink"/>
      <w:u w:val="single"/>
    </w:rPr>
  </w:style>
  <w:style w:type="character" w:customStyle="1" w:styleId="UnresolvedMention1">
    <w:name w:val="Unresolved Mention1"/>
    <w:basedOn w:val="DefaultParagraphFont"/>
    <w:uiPriority w:val="99"/>
    <w:semiHidden/>
    <w:unhideWhenUsed/>
    <w:rsid w:val="00DA2974"/>
    <w:rPr>
      <w:color w:val="605E5C"/>
      <w:shd w:val="clear" w:color="auto" w:fill="E1DFDD"/>
    </w:rPr>
  </w:style>
  <w:style w:type="character" w:styleId="FollowedHyperlink">
    <w:name w:val="FollowedHyperlink"/>
    <w:basedOn w:val="DefaultParagraphFont"/>
    <w:uiPriority w:val="99"/>
    <w:semiHidden/>
    <w:unhideWhenUsed/>
    <w:rsid w:val="009D4683"/>
    <w:rPr>
      <w:color w:val="954F72" w:themeColor="followedHyperlink"/>
      <w:u w:val="single"/>
    </w:rPr>
  </w:style>
  <w:style w:type="paragraph" w:styleId="ListParagraph">
    <w:name w:val="List Paragraph"/>
    <w:basedOn w:val="Normal"/>
    <w:uiPriority w:val="34"/>
    <w:qFormat/>
    <w:rsid w:val="005414C1"/>
    <w:pPr>
      <w:ind w:left="720"/>
      <w:contextualSpacing/>
    </w:pPr>
  </w:style>
  <w:style w:type="paragraph" w:styleId="Header">
    <w:name w:val="header"/>
    <w:basedOn w:val="Normal"/>
    <w:link w:val="HeaderChar"/>
    <w:uiPriority w:val="99"/>
    <w:unhideWhenUsed/>
    <w:rsid w:val="0054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C1"/>
  </w:style>
  <w:style w:type="paragraph" w:styleId="Footer">
    <w:name w:val="footer"/>
    <w:basedOn w:val="Normal"/>
    <w:link w:val="FooterChar"/>
    <w:uiPriority w:val="99"/>
    <w:unhideWhenUsed/>
    <w:rsid w:val="0054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C1"/>
  </w:style>
  <w:style w:type="character" w:styleId="PageNumber">
    <w:name w:val="page number"/>
    <w:basedOn w:val="DefaultParagraphFont"/>
    <w:uiPriority w:val="99"/>
    <w:semiHidden/>
    <w:unhideWhenUsed/>
    <w:rsid w:val="008339A4"/>
  </w:style>
  <w:style w:type="paragraph" w:styleId="BalloonText">
    <w:name w:val="Balloon Text"/>
    <w:basedOn w:val="Normal"/>
    <w:link w:val="BalloonTextChar"/>
    <w:uiPriority w:val="99"/>
    <w:semiHidden/>
    <w:unhideWhenUsed/>
    <w:rsid w:val="009E55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5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C4410"/>
    <w:rPr>
      <w:sz w:val="16"/>
      <w:szCs w:val="16"/>
    </w:rPr>
  </w:style>
  <w:style w:type="paragraph" w:styleId="CommentText">
    <w:name w:val="annotation text"/>
    <w:basedOn w:val="Normal"/>
    <w:link w:val="CommentTextChar"/>
    <w:uiPriority w:val="99"/>
    <w:semiHidden/>
    <w:unhideWhenUsed/>
    <w:rsid w:val="00CC4410"/>
    <w:pPr>
      <w:spacing w:line="240" w:lineRule="auto"/>
    </w:pPr>
    <w:rPr>
      <w:sz w:val="20"/>
      <w:szCs w:val="20"/>
    </w:rPr>
  </w:style>
  <w:style w:type="character" w:customStyle="1" w:styleId="CommentTextChar">
    <w:name w:val="Comment Text Char"/>
    <w:basedOn w:val="DefaultParagraphFont"/>
    <w:link w:val="CommentText"/>
    <w:uiPriority w:val="99"/>
    <w:semiHidden/>
    <w:rsid w:val="00CC4410"/>
    <w:rPr>
      <w:sz w:val="20"/>
      <w:szCs w:val="20"/>
    </w:rPr>
  </w:style>
  <w:style w:type="paragraph" w:styleId="CommentSubject">
    <w:name w:val="annotation subject"/>
    <w:basedOn w:val="CommentText"/>
    <w:next w:val="CommentText"/>
    <w:link w:val="CommentSubjectChar"/>
    <w:uiPriority w:val="99"/>
    <w:semiHidden/>
    <w:unhideWhenUsed/>
    <w:rsid w:val="00CC4410"/>
    <w:rPr>
      <w:b/>
      <w:bCs/>
    </w:rPr>
  </w:style>
  <w:style w:type="character" w:customStyle="1" w:styleId="CommentSubjectChar">
    <w:name w:val="Comment Subject Char"/>
    <w:basedOn w:val="CommentTextChar"/>
    <w:link w:val="CommentSubject"/>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 w:type="character" w:styleId="UnresolvedMention">
    <w:name w:val="Unresolved Mention"/>
    <w:basedOn w:val="DefaultParagraphFont"/>
    <w:uiPriority w:val="99"/>
    <w:rsid w:val="00F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531458955">
      <w:bodyDiv w:val="1"/>
      <w:marLeft w:val="0"/>
      <w:marRight w:val="0"/>
      <w:marTop w:val="0"/>
      <w:marBottom w:val="0"/>
      <w:divBdr>
        <w:top w:val="none" w:sz="0" w:space="0" w:color="auto"/>
        <w:left w:val="none" w:sz="0" w:space="0" w:color="auto"/>
        <w:bottom w:val="none" w:sz="0" w:space="0" w:color="auto"/>
        <w:right w:val="none" w:sz="0" w:space="0" w:color="auto"/>
      </w:divBdr>
    </w:div>
    <w:div w:id="1418862487">
      <w:bodyDiv w:val="1"/>
      <w:marLeft w:val="0"/>
      <w:marRight w:val="0"/>
      <w:marTop w:val="0"/>
      <w:marBottom w:val="0"/>
      <w:divBdr>
        <w:top w:val="none" w:sz="0" w:space="0" w:color="auto"/>
        <w:left w:val="none" w:sz="0" w:space="0" w:color="auto"/>
        <w:bottom w:val="none" w:sz="0" w:space="0" w:color="auto"/>
        <w:right w:val="none" w:sz="0" w:space="0" w:color="auto"/>
      </w:divBdr>
    </w:div>
    <w:div w:id="1466386760">
      <w:bodyDiv w:val="1"/>
      <w:marLeft w:val="0"/>
      <w:marRight w:val="0"/>
      <w:marTop w:val="0"/>
      <w:marBottom w:val="0"/>
      <w:divBdr>
        <w:top w:val="none" w:sz="0" w:space="0" w:color="auto"/>
        <w:left w:val="none" w:sz="0" w:space="0" w:color="auto"/>
        <w:bottom w:val="none" w:sz="0" w:space="0" w:color="auto"/>
        <w:right w:val="none" w:sz="0" w:space="0" w:color="auto"/>
      </w:divBdr>
      <w:divsChild>
        <w:div w:id="1321499302">
          <w:marLeft w:val="0"/>
          <w:marRight w:val="0"/>
          <w:marTop w:val="0"/>
          <w:marBottom w:val="0"/>
          <w:divBdr>
            <w:top w:val="none" w:sz="0" w:space="0" w:color="auto"/>
            <w:left w:val="none" w:sz="0" w:space="0" w:color="auto"/>
            <w:bottom w:val="none" w:sz="0" w:space="0" w:color="auto"/>
            <w:right w:val="none" w:sz="0" w:space="0" w:color="auto"/>
          </w:divBdr>
          <w:divsChild>
            <w:div w:id="505946807">
              <w:marLeft w:val="0"/>
              <w:marRight w:val="0"/>
              <w:marTop w:val="0"/>
              <w:marBottom w:val="0"/>
              <w:divBdr>
                <w:top w:val="none" w:sz="0" w:space="0" w:color="auto"/>
                <w:left w:val="none" w:sz="0" w:space="0" w:color="auto"/>
                <w:bottom w:val="none" w:sz="0" w:space="0" w:color="auto"/>
                <w:right w:val="none" w:sz="0" w:space="0" w:color="auto"/>
              </w:divBdr>
              <w:divsChild>
                <w:div w:id="1275596491">
                  <w:marLeft w:val="0"/>
                  <w:marRight w:val="0"/>
                  <w:marTop w:val="0"/>
                  <w:marBottom w:val="0"/>
                  <w:divBdr>
                    <w:top w:val="none" w:sz="0" w:space="0" w:color="auto"/>
                    <w:left w:val="none" w:sz="0" w:space="0" w:color="auto"/>
                    <w:bottom w:val="none" w:sz="0" w:space="0" w:color="auto"/>
                    <w:right w:val="none" w:sz="0" w:space="0" w:color="auto"/>
                  </w:divBdr>
                  <w:divsChild>
                    <w:div w:id="17679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psych.ac.uk/docs/default-source/improving-care/better-mh-policy/policy/clozapine---emergency-protocol-for-patients-on-monthly-monitoring.pdf?sfvrsn=555b86d5_2" TargetMode="External"/><Relationship Id="rId18" Type="http://schemas.openxmlformats.org/officeDocument/2006/relationships/hyperlink" Target="https://www.rcpsych.ac.uk/docs/default-source/improving-care/better-mh-policy/policy/clozapine-and-blood-dyscrasias-in-patients-with-coronavirus-(covid-19).pdf?sfvrsn=1d28f4b_2" TargetMode="External"/><Relationship Id="rId26" Type="http://schemas.openxmlformats.org/officeDocument/2006/relationships/hyperlink" Target="https://www.gov.uk/drug-safety-update/clozapine-and-other-antipsychotics-monitoring-blood-concentrations-for-toxicity" TargetMode="External"/><Relationship Id="rId21" Type="http://schemas.openxmlformats.org/officeDocument/2006/relationships/hyperlink" Target="http://oxfordhealthbrc.nihr.ac.uk/wp-content/uploads/2021/02/QCen-Covid-19-Clozapine.docx"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rcpsych.ac.uk/about-us/responding-to-covid-19/responding-to-covid-19-guidance-for-clinicians/community-and-inpatient-services-covid-19-guidance-for-clinicians" TargetMode="External"/><Relationship Id="rId17" Type="http://schemas.openxmlformats.org/officeDocument/2006/relationships/hyperlink" Target="http://www.oxfordhealthformulary.nhs.uk/docs/Clozapine%20-%20information%20for%20health%20care%20professionals%20-%20COVID%2019%20memov3.pdf?UID=9231316452020421181841" TargetMode="External"/><Relationship Id="rId25" Type="http://schemas.openxmlformats.org/officeDocument/2006/relationships/hyperlink" Target="https://www.psikiyatri.org.tr/TPDData/Uploads/files/SizofreniCOVID-20052020.pdf" TargetMode="External"/><Relationship Id="rId33" Type="http://schemas.openxmlformats.org/officeDocument/2006/relationships/hyperlink" Target="https://www.bmj.com/content/368/bmj.m1071/rr" TargetMode="External"/><Relationship Id="rId2" Type="http://schemas.openxmlformats.org/officeDocument/2006/relationships/styles" Target="styles.xml"/><Relationship Id="rId16" Type="http://schemas.openxmlformats.org/officeDocument/2006/relationships/hyperlink" Target="https://www.rcpsych.ac.uk/docs/default-source/improving-care/better-mh-policy/covid-19-and-psychotropics-(4).pdf?sfvrsn=9dc3dd1e_4" TargetMode="External"/><Relationship Id="rId20" Type="http://schemas.openxmlformats.org/officeDocument/2006/relationships/hyperlink" Target="https://www.rcpsych.ac.uk/docs/default-source/improving-care/better-mh-policy/policy/clozapine-and-blood-dyscrasias-in-patients-with-coronavirus-(covid-19).pdf?sfvrsn=1d28f4b_2" TargetMode="External"/><Relationship Id="rId29" Type="http://schemas.openxmlformats.org/officeDocument/2006/relationships/hyperlink" Target="https://www.england.nhs.uk/coronavirus/wp-content/uploads/sites/52/2020/03/Managing-demand-and-capacity-across-MH-LDA-services_25-March-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pn.ca/wp-content/uploads/2020/04/45-4-200061.pdf" TargetMode="External"/><Relationship Id="rId24" Type="http://schemas.openxmlformats.org/officeDocument/2006/relationships/hyperlink" Target="http://jpn.ca/wp-content/uploads/2020/04/45-4-200061.pdf" TargetMode="External"/><Relationship Id="rId32" Type="http://schemas.openxmlformats.org/officeDocument/2006/relationships/hyperlink" Target="https://www.ncbi.nlm.nih.gov/pmc/articles/PMC741798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s.nhs.uk/articles/clozapine-drug-monitoring-in-primary-care-during-covid-19-for-stable-patients/" TargetMode="External"/><Relationship Id="rId23" Type="http://schemas.openxmlformats.org/officeDocument/2006/relationships/hyperlink" Target="https://www.rcpsych.ac.uk/docs/default-source/improving-care/better-mh-policy/policy/clozapine---emergency-protocol-for-patients-on-monthly-monitoring.pdf?sfvrsn=555b86d5_2" TargetMode="External"/><Relationship Id="rId28" Type="http://schemas.openxmlformats.org/officeDocument/2006/relationships/hyperlink" Target="https://www.england.nhs.uk/coronavirus/wp-content/uploads/sites/52/2020/03/Managing-demand-and-capacity-across-MH-LDA-services_25-March-final.pdf" TargetMode="External"/><Relationship Id="rId36" Type="http://schemas.openxmlformats.org/officeDocument/2006/relationships/fontTable" Target="fontTable.xml"/><Relationship Id="rId10" Type="http://schemas.openxmlformats.org/officeDocument/2006/relationships/hyperlink" Target="https://www.rcpsych.ac.uk/about-us/responding-to-covid-19/responding-to-covid-19-guidance-for-clinicians/community-and-inpatient-services-covid-19-guidance-for-clinicians" TargetMode="External"/><Relationship Id="rId19" Type="http://schemas.openxmlformats.org/officeDocument/2006/relationships/hyperlink" Target="http://oxfordhealthbrc.nihr.ac.uk/wp-content/uploads/2021/02/QCen-Covid-19-Clozapine.docx" TargetMode="External"/><Relationship Id="rId31" Type="http://schemas.openxmlformats.org/officeDocument/2006/relationships/hyperlink" Target="http://jpn.ca/wp-content/uploads/2020/04/45-4-200061.pdf" TargetMode="External"/><Relationship Id="rId4" Type="http://schemas.openxmlformats.org/officeDocument/2006/relationships/webSettings" Target="webSettings.xml"/><Relationship Id="rId9" Type="http://schemas.openxmlformats.org/officeDocument/2006/relationships/hyperlink" Target="https://oxfordhealthbrc.nihr.ac.uk/our-work/oxppl/covid-19-and-mental-health-guidance/" TargetMode="External"/><Relationship Id="rId14" Type="http://schemas.openxmlformats.org/officeDocument/2006/relationships/hyperlink" Target="http://jpn.ca/wp-content/uploads/2020/04/45-4-200061.pdf" TargetMode="External"/><Relationship Id="rId22" Type="http://schemas.openxmlformats.org/officeDocument/2006/relationships/hyperlink" Target="https://www.rcpsych.ac.uk/about-us/responding-to-covid-19/responding-to-covid-19-guidance-for-clinicians/community-and-inpatient-services-covid-19-guidance-for-clinicians" TargetMode="External"/><Relationship Id="rId27" Type="http://schemas.openxmlformats.org/officeDocument/2006/relationships/hyperlink" Target="https://www.psikiyatri.org.tr/TPDData/Uploads/files/SizofreniCOVID-20052020.pdf" TargetMode="External"/><Relationship Id="rId30" Type="http://schemas.openxmlformats.org/officeDocument/2006/relationships/hyperlink" Target="https://www.rcpsych.ac.uk/docs/default-source/improving-care/better-mh-policy/policy/clozapine-and-blood-dyscrasias-in-patients-with-coronavirus-(covid-19).pdf?sfvrsn=1d28f4b_2"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Kurtulmus Ayse (RNU) Oxford Health</cp:lastModifiedBy>
  <cp:revision>15</cp:revision>
  <cp:lastPrinted>2020-03-29T22:36:00Z</cp:lastPrinted>
  <dcterms:created xsi:type="dcterms:W3CDTF">2020-06-01T07:23:00Z</dcterms:created>
  <dcterms:modified xsi:type="dcterms:W3CDTF">2021-03-18T09:38:00Z</dcterms:modified>
</cp:coreProperties>
</file>