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DE028" w14:textId="46B0C2D3" w:rsidR="00C134AF" w:rsidRPr="00C134AF" w:rsidRDefault="00C134AF" w:rsidP="00C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5C0539">
        <w:rPr>
          <w:rFonts w:asciiTheme="majorHAnsi" w:hAnsiTheme="majorHAnsi" w:cstheme="majorHAnsi"/>
          <w:noProof/>
          <w:color w:val="000000" w:themeColor="text1"/>
          <w:lang w:eastAsia="en-GB"/>
        </w:rPr>
        <w:drawing>
          <wp:anchor distT="0" distB="0" distL="114300" distR="114300" simplePos="0" relativeHeight="251658240" behindDoc="0" locked="0" layoutInCell="1" allowOverlap="1" wp14:anchorId="61DDB1D5" wp14:editId="01DE2B34">
            <wp:simplePos x="0" y="0"/>
            <wp:positionH relativeFrom="margin">
              <wp:posOffset>6988175</wp:posOffset>
            </wp:positionH>
            <wp:positionV relativeFrom="margin">
              <wp:posOffset>-544</wp:posOffset>
            </wp:positionV>
            <wp:extent cx="1803400" cy="861060"/>
            <wp:effectExtent l="0" t="0" r="0" b="2540"/>
            <wp:wrapSquare wrapText="bothSides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_final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52D" w:rsidRPr="00C134AF">
        <w:rPr>
          <w:rFonts w:ascii="Times New Roman" w:eastAsia="Times New Roman" w:hAnsi="Times New Roman" w:cs="Times New Roman"/>
          <w:sz w:val="24"/>
          <w:szCs w:val="24"/>
          <w:lang w:eastAsia="ja-JP"/>
        </w:rPr>
        <w:fldChar w:fldCharType="begin"/>
      </w:r>
      <w:r w:rsidR="004E652D" w:rsidRPr="00C134AF">
        <w:rPr>
          <w:rFonts w:ascii="Times New Roman" w:eastAsia="Times New Roman" w:hAnsi="Times New Roman" w:cs="Times New Roman"/>
          <w:sz w:val="24"/>
          <w:szCs w:val="24"/>
          <w:lang w:eastAsia="ja-JP"/>
        </w:rPr>
        <w:instrText xml:space="preserve"> INCLUDEPICTURE "https://oxfordbrc.nihr.ac.uk/wp-content/uploads/2019/04/Oxford-Biomedical-Research-Centre_logo_outlined_RGB_COL-1024x256.jpg" \* MERGEFORMATINET </w:instrText>
      </w:r>
      <w:r w:rsidR="004E652D" w:rsidRPr="00C134AF">
        <w:rPr>
          <w:rFonts w:ascii="Times New Roman" w:eastAsia="Times New Roman" w:hAnsi="Times New Roman" w:cs="Times New Roman"/>
          <w:sz w:val="24"/>
          <w:szCs w:val="24"/>
          <w:lang w:eastAsia="ja-JP"/>
        </w:rPr>
        <w:fldChar w:fldCharType="end"/>
      </w:r>
    </w:p>
    <w:p w14:paraId="66401FD3" w14:textId="72AC2270" w:rsidR="005414C1" w:rsidRPr="008339A4" w:rsidRDefault="004E652D" w:rsidP="00722151">
      <w:pPr>
        <w:spacing w:before="8" w:after="8" w:line="240" w:lineRule="auto"/>
        <w:rPr>
          <w:rFonts w:asciiTheme="majorHAnsi" w:hAnsiTheme="majorHAnsi" w:cstheme="majorHAnsi"/>
          <w:color w:val="000000" w:themeColor="text1"/>
        </w:rPr>
      </w:pPr>
      <w:r w:rsidRPr="00C134A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E308530" wp14:editId="293443A5">
            <wp:simplePos x="0" y="0"/>
            <wp:positionH relativeFrom="column">
              <wp:posOffset>0</wp:posOffset>
            </wp:positionH>
            <wp:positionV relativeFrom="page">
              <wp:posOffset>676769</wp:posOffset>
            </wp:positionV>
            <wp:extent cx="2680335" cy="465455"/>
            <wp:effectExtent l="0" t="0" r="0" b="4445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3328F" w14:textId="77777777" w:rsidR="00B04713" w:rsidRDefault="00B04713" w:rsidP="00B04713">
      <w:pPr>
        <w:spacing w:before="8" w:after="8" w:line="240" w:lineRule="auto"/>
        <w:ind w:left="-567"/>
        <w:rPr>
          <w:rFonts w:asciiTheme="majorHAnsi" w:hAnsiTheme="majorHAnsi" w:cstheme="majorHAnsi"/>
          <w:b/>
          <w:bCs/>
          <w:color w:val="000000" w:themeColor="text1"/>
        </w:rPr>
      </w:pPr>
    </w:p>
    <w:p w14:paraId="5E06F90A" w14:textId="77777777" w:rsidR="004E652D" w:rsidRDefault="004E652D" w:rsidP="00B04713">
      <w:pPr>
        <w:spacing w:before="8" w:after="8" w:line="240" w:lineRule="auto"/>
        <w:ind w:left="-567"/>
        <w:rPr>
          <w:rFonts w:asciiTheme="majorHAnsi" w:hAnsiTheme="majorHAnsi" w:cstheme="majorHAnsi"/>
          <w:b/>
          <w:bCs/>
          <w:color w:val="000000" w:themeColor="text1"/>
        </w:rPr>
      </w:pPr>
    </w:p>
    <w:p w14:paraId="5A733349" w14:textId="77777777" w:rsidR="004E652D" w:rsidRDefault="004E652D" w:rsidP="00B04713">
      <w:pPr>
        <w:spacing w:before="8" w:after="8" w:line="240" w:lineRule="auto"/>
        <w:ind w:left="-567"/>
        <w:rPr>
          <w:rFonts w:asciiTheme="majorHAnsi" w:hAnsiTheme="majorHAnsi" w:cstheme="majorHAnsi"/>
          <w:b/>
          <w:bCs/>
          <w:color w:val="000000" w:themeColor="text1"/>
        </w:rPr>
      </w:pPr>
    </w:p>
    <w:p w14:paraId="424D090A" w14:textId="77777777" w:rsidR="00936004" w:rsidRDefault="00936004" w:rsidP="00B04713">
      <w:pPr>
        <w:spacing w:before="8" w:after="8" w:line="240" w:lineRule="auto"/>
        <w:ind w:left="-567"/>
        <w:rPr>
          <w:rFonts w:asciiTheme="majorHAnsi" w:hAnsiTheme="majorHAnsi" w:cstheme="majorHAnsi"/>
          <w:b/>
          <w:bCs/>
          <w:color w:val="000000" w:themeColor="text1"/>
        </w:rPr>
      </w:pPr>
    </w:p>
    <w:p w14:paraId="3E3791BD" w14:textId="1AF62183" w:rsidR="00BC48F6" w:rsidRPr="000F7E38" w:rsidRDefault="00BC48F6" w:rsidP="00BC48F6">
      <w:pPr>
        <w:spacing w:before="8" w:after="8" w:line="240" w:lineRule="auto"/>
        <w:ind w:left="-567"/>
        <w:rPr>
          <w:rFonts w:asciiTheme="majorHAnsi" w:hAnsiTheme="majorHAnsi" w:cstheme="majorHAnsi"/>
          <w:b/>
          <w:bCs/>
        </w:rPr>
      </w:pPr>
      <w:proofErr w:type="spellStart"/>
      <w:r w:rsidRPr="000F7E38">
        <w:rPr>
          <w:rFonts w:asciiTheme="majorHAnsi" w:hAnsiTheme="majorHAnsi" w:cstheme="majorHAnsi"/>
          <w:b/>
          <w:bCs/>
          <w:color w:val="000000" w:themeColor="text1"/>
        </w:rPr>
        <w:t>Tabl</w:t>
      </w:r>
      <w:r>
        <w:rPr>
          <w:rFonts w:asciiTheme="majorHAnsi" w:hAnsiTheme="majorHAnsi" w:cstheme="majorHAnsi"/>
          <w:b/>
          <w:bCs/>
          <w:color w:val="000000" w:themeColor="text1"/>
        </w:rPr>
        <w:t>o</w:t>
      </w:r>
      <w:proofErr w:type="spellEnd"/>
      <w:r w:rsidRPr="000F7E3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</w:rPr>
        <w:t>3</w:t>
      </w:r>
      <w:r w:rsidRPr="000F7E38">
        <w:rPr>
          <w:rFonts w:asciiTheme="majorHAnsi" w:hAnsiTheme="majorHAnsi" w:cstheme="majorHAnsi"/>
          <w:b/>
          <w:bCs/>
          <w:color w:val="000000" w:themeColor="text1"/>
        </w:rPr>
        <w:t>:</w:t>
      </w:r>
      <w:r w:rsidRPr="000F7E3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Lityum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tedavisi</w:t>
      </w:r>
      <w:proofErr w:type="spellEnd"/>
      <w:r w:rsidRPr="00796C59">
        <w:rPr>
          <w:rFonts w:asciiTheme="majorHAnsi" w:hAnsiTheme="majorHAnsi" w:cstheme="majorHAnsi"/>
          <w:b/>
          <w:bCs/>
          <w:color w:val="000000" w:themeColor="text1"/>
        </w:rPr>
        <w:t xml:space="preserve"> – </w:t>
      </w:r>
      <w:r>
        <w:rPr>
          <w:rFonts w:asciiTheme="majorHAnsi" w:hAnsiTheme="majorHAnsi" w:cstheme="majorHAnsi"/>
          <w:b/>
          <w:bCs/>
          <w:color w:val="000000" w:themeColor="text1"/>
        </w:rPr>
        <w:t>COV</w:t>
      </w:r>
      <w:r w:rsidR="006F451E">
        <w:rPr>
          <w:rFonts w:asciiTheme="majorHAnsi" w:hAnsiTheme="majorHAnsi" w:cstheme="majorHAnsi"/>
          <w:b/>
          <w:bCs/>
          <w:color w:val="000000" w:themeColor="text1"/>
        </w:rPr>
        <w:t>I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D-19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pandemis</w:t>
      </w:r>
      <w:r w:rsidR="001608E5">
        <w:rPr>
          <w:rFonts w:asciiTheme="majorHAnsi" w:hAnsiTheme="majorHAnsi" w:cstheme="majorHAnsi"/>
          <w:b/>
          <w:bCs/>
          <w:color w:val="000000" w:themeColor="text1"/>
        </w:rPr>
        <w:t>i</w:t>
      </w:r>
      <w:proofErr w:type="spellEnd"/>
      <w:r w:rsidR="002D52C4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2D52C4">
        <w:rPr>
          <w:rFonts w:asciiTheme="majorHAnsi" w:hAnsiTheme="majorHAnsi" w:cstheme="majorHAnsi"/>
          <w:b/>
          <w:bCs/>
          <w:color w:val="000000" w:themeColor="text1"/>
        </w:rPr>
        <w:t>süreci</w:t>
      </w:r>
      <w:r w:rsidR="006F451E">
        <w:rPr>
          <w:rFonts w:asciiTheme="majorHAnsi" w:hAnsiTheme="majorHAnsi" w:cstheme="majorHAnsi"/>
          <w:b/>
          <w:bCs/>
          <w:color w:val="000000" w:themeColor="text1"/>
        </w:rPr>
        <w:t>nde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lityum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kullanan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hastaları</w:t>
      </w:r>
      <w:r w:rsidR="002D52C4">
        <w:rPr>
          <w:rFonts w:asciiTheme="majorHAnsi" w:hAnsiTheme="majorHAnsi" w:cstheme="majorHAnsi"/>
          <w:b/>
          <w:bCs/>
          <w:color w:val="000000" w:themeColor="text1"/>
        </w:rPr>
        <w:t>n</w:t>
      </w:r>
      <w:proofErr w:type="spellEnd"/>
      <w:r w:rsidR="002D52C4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2D52C4">
        <w:rPr>
          <w:rFonts w:asciiTheme="majorHAnsi" w:hAnsiTheme="majorHAnsi" w:cstheme="majorHAnsi"/>
          <w:b/>
          <w:bCs/>
          <w:color w:val="000000" w:themeColor="text1"/>
        </w:rPr>
        <w:t>yönetimi</w:t>
      </w:r>
      <w:proofErr w:type="spellEnd"/>
    </w:p>
    <w:p w14:paraId="3FCAFD84" w14:textId="77777777" w:rsidR="00767225" w:rsidRDefault="00767225" w:rsidP="00BC48F6">
      <w:pPr>
        <w:spacing w:before="8" w:after="8" w:line="240" w:lineRule="auto"/>
        <w:ind w:hanging="567"/>
        <w:rPr>
          <w:rFonts w:asciiTheme="majorHAnsi" w:hAnsiTheme="majorHAnsi" w:cstheme="majorHAnsi"/>
          <w:i/>
          <w:iCs/>
          <w:color w:val="000000" w:themeColor="text1"/>
        </w:rPr>
      </w:pPr>
    </w:p>
    <w:p w14:paraId="0790FE37" w14:textId="77777777" w:rsidR="00BC48F6" w:rsidRDefault="00BC48F6" w:rsidP="00BC48F6">
      <w:pPr>
        <w:spacing w:before="8" w:after="8" w:line="240" w:lineRule="auto"/>
        <w:ind w:hanging="567"/>
      </w:pPr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Her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bölümdeki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sorular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birbiriyle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bağlantılıdır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ve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birlikte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okunmalıdır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>.</w:t>
      </w:r>
      <w:r>
        <w:t xml:space="preserve"> </w:t>
      </w:r>
    </w:p>
    <w:p w14:paraId="607525FF" w14:textId="78D276BE" w:rsidR="00BC48F6" w:rsidRDefault="00BC48F6" w:rsidP="00BC48F6">
      <w:pPr>
        <w:spacing w:before="8" w:after="8" w:line="240" w:lineRule="auto"/>
        <w:ind w:hanging="567"/>
        <w:rPr>
          <w:rFonts w:asciiTheme="majorHAnsi" w:hAnsiTheme="majorHAnsi" w:cstheme="majorHAnsi"/>
          <w:i/>
          <w:iCs/>
          <w:color w:val="000000" w:themeColor="text1"/>
        </w:rPr>
      </w:pPr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Her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sorunun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altında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kılavuz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öneri</w:t>
      </w:r>
      <w:r>
        <w:rPr>
          <w:rFonts w:asciiTheme="majorHAnsi" w:hAnsiTheme="majorHAnsi" w:cstheme="majorHAnsi"/>
          <w:i/>
          <w:iCs/>
          <w:color w:val="000000" w:themeColor="text1"/>
        </w:rPr>
        <w:t>leri</w:t>
      </w:r>
      <w:r w:rsidRPr="0077141E">
        <w:rPr>
          <w:rFonts w:asciiTheme="majorHAnsi" w:hAnsiTheme="majorHAnsi" w:cstheme="majorHAnsi"/>
          <w:i/>
          <w:iCs/>
          <w:color w:val="000000" w:themeColor="text1"/>
        </w:rPr>
        <w:t>ni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destekleyen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verilere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ait</w:t>
      </w:r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kaynakların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web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bağlantıları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bulunmaktadır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14:paraId="2550C3B5" w14:textId="77777777" w:rsidR="00557DBC" w:rsidRDefault="00557DBC" w:rsidP="00BC48F6">
      <w:pPr>
        <w:spacing w:before="8" w:after="8" w:line="240" w:lineRule="auto"/>
        <w:ind w:hanging="567"/>
        <w:rPr>
          <w:rFonts w:asciiTheme="majorHAnsi" w:hAnsiTheme="majorHAnsi" w:cstheme="majorHAnsi"/>
          <w:i/>
          <w:iCs/>
          <w:color w:val="000000" w:themeColor="text1"/>
        </w:rPr>
      </w:pPr>
    </w:p>
    <w:p w14:paraId="4C1CC126" w14:textId="09ACA88E" w:rsidR="00557DBC" w:rsidRDefault="00557DBC" w:rsidP="00557DBC">
      <w:pPr>
        <w:spacing w:before="8" w:after="8" w:line="240" w:lineRule="auto"/>
        <w:ind w:left="-567"/>
        <w:rPr>
          <w:i/>
        </w:rPr>
      </w:pPr>
      <w:r w:rsidRPr="00FA7730">
        <w:rPr>
          <w:rFonts w:asciiTheme="majorHAnsi" w:hAnsiTheme="majorHAnsi" w:cstheme="majorHAnsi"/>
          <w:i/>
          <w:iCs/>
          <w:color w:val="000000" w:themeColor="text1"/>
        </w:rPr>
        <w:t xml:space="preserve">Bu </w:t>
      </w:r>
      <w:proofErr w:type="spellStart"/>
      <w:r w:rsidRPr="00FA7730">
        <w:rPr>
          <w:rFonts w:asciiTheme="majorHAnsi" w:hAnsiTheme="majorHAnsi" w:cstheme="majorHAnsi"/>
          <w:i/>
          <w:iCs/>
          <w:color w:val="000000" w:themeColor="text1"/>
        </w:rPr>
        <w:t>belge</w:t>
      </w:r>
      <w:proofErr w:type="spellEnd"/>
      <w:r w:rsidRPr="00FA7730">
        <w:rPr>
          <w:rFonts w:asciiTheme="majorHAnsi" w:hAnsiTheme="majorHAnsi" w:cstheme="majorHAnsi"/>
          <w:i/>
          <w:iCs/>
          <w:color w:val="000000" w:themeColor="text1"/>
        </w:rPr>
        <w:t xml:space="preserve"> Oxford </w:t>
      </w:r>
      <w:proofErr w:type="spellStart"/>
      <w:r w:rsidRPr="00FA7730">
        <w:rPr>
          <w:rFonts w:asciiTheme="majorHAnsi" w:hAnsiTheme="majorHAnsi" w:cstheme="majorHAnsi"/>
          <w:i/>
          <w:iCs/>
          <w:color w:val="000000" w:themeColor="text1"/>
        </w:rPr>
        <w:t>Üniversitesi</w:t>
      </w:r>
      <w:proofErr w:type="spellEnd"/>
      <w:r w:rsidRPr="00FA773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FA7730">
        <w:rPr>
          <w:rFonts w:asciiTheme="majorHAnsi" w:hAnsiTheme="majorHAnsi" w:cstheme="majorHAnsi"/>
          <w:i/>
          <w:iCs/>
          <w:color w:val="000000" w:themeColor="text1"/>
        </w:rPr>
        <w:t>tarafından</w:t>
      </w:r>
      <w:proofErr w:type="spellEnd"/>
      <w:r w:rsidRPr="00FA773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557DBC">
        <w:rPr>
          <w:rFonts w:asciiTheme="majorHAnsi" w:hAnsiTheme="majorHAnsi" w:cstheme="majorHAnsi"/>
          <w:i/>
          <w:iCs/>
          <w:color w:val="000000" w:themeColor="text1"/>
        </w:rPr>
        <w:t>hazırlanan</w:t>
      </w:r>
      <w:proofErr w:type="spellEnd"/>
      <w:r w:rsidRPr="00557DBC">
        <w:rPr>
          <w:rFonts w:asciiTheme="majorHAnsi" w:hAnsiTheme="majorHAnsi" w:cstheme="majorHAnsi"/>
          <w:i/>
          <w:iCs/>
          <w:color w:val="000000" w:themeColor="text1"/>
        </w:rPr>
        <w:t xml:space="preserve"> “</w:t>
      </w:r>
      <w:r w:rsidRPr="00557DBC">
        <w:rPr>
          <w:rFonts w:asciiTheme="majorHAnsi" w:hAnsiTheme="majorHAnsi" w:cstheme="majorHAnsi"/>
          <w:bCs/>
          <w:i/>
          <w:color w:val="000000" w:themeColor="text1"/>
        </w:rPr>
        <w:t>How to manage patients on lithium during the COVID-19 pandemic</w:t>
      </w:r>
      <w:r w:rsidRPr="00557DBC">
        <w:rPr>
          <w:rFonts w:asciiTheme="majorHAnsi" w:hAnsiTheme="majorHAnsi" w:cstheme="majorHAnsi"/>
          <w:i/>
          <w:color w:val="000000" w:themeColor="text1"/>
        </w:rPr>
        <w:t>”</w:t>
      </w:r>
      <w:r w:rsidRPr="00FA7730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FA7730">
        <w:rPr>
          <w:rFonts w:asciiTheme="majorHAnsi" w:hAnsiTheme="majorHAnsi" w:cstheme="majorHAnsi"/>
          <w:i/>
          <w:color w:val="000000" w:themeColor="text1"/>
        </w:rPr>
        <w:t>ba</w:t>
      </w:r>
      <w:r w:rsidRPr="00FA7730">
        <w:rPr>
          <w:rFonts w:asciiTheme="majorHAnsi" w:hAnsiTheme="majorHAnsi" w:cstheme="majorHAnsi"/>
          <w:i/>
          <w:color w:val="000000" w:themeColor="text1"/>
          <w:lang w:val="tr-TR"/>
        </w:rPr>
        <w:t>şlıklı</w:t>
      </w:r>
      <w:proofErr w:type="spellEnd"/>
      <w:r w:rsidRPr="00FA7730">
        <w:rPr>
          <w:rFonts w:asciiTheme="majorHAnsi" w:hAnsiTheme="majorHAnsi" w:cstheme="majorHAnsi"/>
          <w:i/>
          <w:color w:val="000000" w:themeColor="text1"/>
          <w:lang w:val="tr-TR"/>
        </w:rPr>
        <w:t xml:space="preserve"> kı</w:t>
      </w:r>
      <w:r>
        <w:rPr>
          <w:rFonts w:asciiTheme="majorHAnsi" w:hAnsiTheme="majorHAnsi" w:cstheme="majorHAnsi"/>
          <w:i/>
          <w:color w:val="000000" w:themeColor="text1"/>
          <w:lang w:val="tr-TR"/>
        </w:rPr>
        <w:t>lavuzu</w:t>
      </w:r>
      <w:r w:rsidRPr="00FA7730">
        <w:rPr>
          <w:rFonts w:asciiTheme="majorHAnsi" w:hAnsiTheme="majorHAnsi" w:cstheme="majorHAnsi"/>
          <w:i/>
          <w:color w:val="000000" w:themeColor="text1"/>
          <w:lang w:val="tr-TR"/>
        </w:rPr>
        <w:t>n</w:t>
      </w:r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>Türkçe</w:t>
      </w:r>
      <w:proofErr w:type="spellEnd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>tercüme</w:t>
      </w:r>
      <w:proofErr w:type="spellEnd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>ve</w:t>
      </w:r>
      <w:proofErr w:type="spellEnd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>adaptasyonu</w:t>
      </w:r>
      <w:proofErr w:type="spellEnd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 xml:space="preserve"> n</w:t>
      </w:r>
      <w:proofErr w:type="spellStart"/>
      <w:r w:rsidRPr="00FA7730">
        <w:rPr>
          <w:rFonts w:asciiTheme="majorHAnsi" w:hAnsiTheme="majorHAnsi" w:cstheme="majorHAnsi"/>
          <w:i/>
          <w:color w:val="000000" w:themeColor="text1"/>
          <w:lang w:val="tr-TR"/>
        </w:rPr>
        <w:t>iteliğindedir</w:t>
      </w:r>
      <w:proofErr w:type="spellEnd"/>
      <w:r w:rsidRPr="00FA7730">
        <w:rPr>
          <w:rFonts w:asciiTheme="majorHAnsi" w:hAnsiTheme="majorHAnsi" w:cstheme="majorHAnsi"/>
          <w:i/>
          <w:color w:val="000000" w:themeColor="text1"/>
          <w:lang w:val="fr-FR"/>
        </w:rPr>
        <w:t>.</w:t>
      </w:r>
      <w:r w:rsidRPr="00767225">
        <w:rPr>
          <w:rFonts w:asciiTheme="majorHAnsi" w:hAnsiTheme="majorHAnsi" w:cstheme="majorHAnsi"/>
          <w:i/>
          <w:color w:val="000000" w:themeColor="text1"/>
          <w:lang w:val="fr-FR"/>
        </w:rPr>
        <w:t xml:space="preserve">  </w:t>
      </w:r>
      <w:hyperlink r:id="rId9" w:history="1">
        <w:r w:rsidR="00767225" w:rsidRPr="004415D8">
          <w:rPr>
            <w:rStyle w:val="Hyperlink"/>
            <w:i/>
          </w:rPr>
          <w:t>https://oxfordhealthbrc.nihr.ac.uk/our-work/oxppl/table-3-lithium-treatment/</w:t>
        </w:r>
      </w:hyperlink>
    </w:p>
    <w:p w14:paraId="062A9DC8" w14:textId="77777777" w:rsidR="00557DBC" w:rsidRDefault="00557DBC" w:rsidP="00767225">
      <w:pPr>
        <w:spacing w:before="8" w:after="8" w:line="240" w:lineRule="auto"/>
        <w:rPr>
          <w:rFonts w:asciiTheme="majorHAnsi" w:hAnsiTheme="majorHAnsi" w:cstheme="majorHAnsi"/>
          <w:i/>
          <w:iCs/>
          <w:color w:val="000000" w:themeColor="text1"/>
        </w:rPr>
      </w:pPr>
    </w:p>
    <w:p w14:paraId="2BF3C65E" w14:textId="77777777" w:rsidR="00557DBC" w:rsidRPr="00EA3480" w:rsidRDefault="00557DBC" w:rsidP="00557DBC">
      <w:pPr>
        <w:spacing w:before="8" w:after="8" w:line="240" w:lineRule="auto"/>
        <w:ind w:hanging="567"/>
        <w:rPr>
          <w:rFonts w:asciiTheme="majorHAnsi" w:hAnsiTheme="majorHAnsi" w:cstheme="majorHAnsi"/>
          <w:i/>
          <w:iCs/>
          <w:color w:val="000000" w:themeColor="text1"/>
        </w:rPr>
      </w:pP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Hakan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Yılmaz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,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Bahtiyar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Umut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Özer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, Ayşe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Kurtulmuş</w:t>
      </w:r>
      <w:proofErr w:type="spellEnd"/>
    </w:p>
    <w:p w14:paraId="2670B000" w14:textId="77777777" w:rsidR="00557DBC" w:rsidRDefault="00557DBC" w:rsidP="00BC48F6">
      <w:pPr>
        <w:spacing w:before="8" w:after="8" w:line="240" w:lineRule="auto"/>
        <w:ind w:hanging="567"/>
        <w:rPr>
          <w:rFonts w:asciiTheme="majorHAnsi" w:hAnsiTheme="majorHAnsi" w:cstheme="majorHAnsi"/>
          <w:i/>
          <w:iCs/>
          <w:color w:val="000000" w:themeColor="text1"/>
        </w:rPr>
      </w:pPr>
    </w:p>
    <w:p w14:paraId="3E45564C" w14:textId="77777777" w:rsidR="00BC48F6" w:rsidRPr="00BC48F6" w:rsidRDefault="00BC48F6" w:rsidP="00BC48F6">
      <w:pPr>
        <w:spacing w:before="8" w:after="8" w:line="240" w:lineRule="auto"/>
        <w:ind w:hanging="567"/>
      </w:pPr>
    </w:p>
    <w:tbl>
      <w:tblPr>
        <w:tblStyle w:val="TableGrid"/>
        <w:tblpPr w:leftFromText="180" w:rightFromText="180" w:vertAnchor="text" w:tblpX="-575" w:tblpY="1"/>
        <w:tblOverlap w:val="never"/>
        <w:tblW w:w="5369" w:type="pct"/>
        <w:tblLook w:val="04A0" w:firstRow="1" w:lastRow="0" w:firstColumn="1" w:lastColumn="0" w:noHBand="0" w:noVBand="1"/>
      </w:tblPr>
      <w:tblGrid>
        <w:gridCol w:w="3412"/>
        <w:gridCol w:w="11447"/>
      </w:tblGrid>
      <w:tr w:rsidR="00D54077" w:rsidRPr="00796C59" w14:paraId="41DC99C5" w14:textId="77777777" w:rsidTr="00D54077">
        <w:tc>
          <w:tcPr>
            <w:tcW w:w="1148" w:type="pct"/>
            <w:tcBorders>
              <w:top w:val="single" w:sz="48" w:space="0" w:color="E2F2FF"/>
              <w:left w:val="single" w:sz="48" w:space="0" w:color="E2F2FF"/>
              <w:bottom w:val="single" w:sz="4" w:space="0" w:color="auto"/>
              <w:right w:val="nil"/>
            </w:tcBorders>
            <w:shd w:val="clear" w:color="auto" w:fill="E2F2FF"/>
          </w:tcPr>
          <w:p w14:paraId="33698D3E" w14:textId="327EE546" w:rsidR="00D54077" w:rsidRPr="00796C59" w:rsidRDefault="00BC48F6" w:rsidP="00D54077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soru</w:t>
            </w:r>
            <w:proofErr w:type="spellEnd"/>
            <w:r w:rsidR="00D54077" w:rsidRPr="00796C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52" w:type="pct"/>
            <w:tcBorders>
              <w:top w:val="single" w:sz="48" w:space="0" w:color="E2F2FF"/>
              <w:left w:val="nil"/>
              <w:bottom w:val="single" w:sz="4" w:space="0" w:color="auto"/>
              <w:right w:val="single" w:sz="48" w:space="0" w:color="E2F2FF"/>
            </w:tcBorders>
            <w:shd w:val="clear" w:color="auto" w:fill="E2F2FF"/>
          </w:tcPr>
          <w:p w14:paraId="735C52DF" w14:textId="5CD66FE9" w:rsidR="00D54077" w:rsidRPr="00796C59" w:rsidRDefault="00BC48F6" w:rsidP="00936004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</w:t>
            </w:r>
            <w:proofErr w:type="spellEnd"/>
          </w:p>
        </w:tc>
      </w:tr>
      <w:tr w:rsidR="00D54077" w:rsidRPr="00796C59" w14:paraId="690D7DB0" w14:textId="77777777" w:rsidTr="00D54077">
        <w:tc>
          <w:tcPr>
            <w:tcW w:w="1148" w:type="pct"/>
            <w:tcBorders>
              <w:top w:val="single" w:sz="4" w:space="0" w:color="auto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4703FEBF" w14:textId="77777777" w:rsidR="00D54077" w:rsidRPr="00796C59" w:rsidRDefault="00D54077" w:rsidP="00D54077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852" w:type="pct"/>
            <w:tcBorders>
              <w:top w:val="single" w:sz="4" w:space="0" w:color="auto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7F50B99A" w14:textId="77777777" w:rsidR="00D54077" w:rsidRPr="00796C59" w:rsidRDefault="00D54077" w:rsidP="00936004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4713" w:rsidRPr="00796C59" w14:paraId="3EC360B2" w14:textId="77777777" w:rsidTr="00D54077">
        <w:tc>
          <w:tcPr>
            <w:tcW w:w="5000" w:type="pct"/>
            <w:gridSpan w:val="2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147"/>
          </w:tcPr>
          <w:p w14:paraId="7F981443" w14:textId="70DFCF48" w:rsidR="00C134AF" w:rsidRPr="00796C59" w:rsidRDefault="004D4A95" w:rsidP="00936004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tedavisine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7A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başlamak</w:t>
            </w:r>
            <w:proofErr w:type="spellEnd"/>
          </w:p>
        </w:tc>
      </w:tr>
      <w:tr w:rsidR="00796C59" w:rsidRPr="00796C59" w14:paraId="3CD247A2" w14:textId="77777777" w:rsidTr="00D54077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48FF1CA0" w14:textId="3E6C48B0" w:rsidR="00796C59" w:rsidRPr="00796C59" w:rsidRDefault="00BC48F6" w:rsidP="00796C59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Hastama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başlayabilir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miyim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68615CD6" w14:textId="685BDA2D" w:rsidR="00796C59" w:rsidRPr="00796C59" w:rsidRDefault="00796C59" w:rsidP="00796C59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96C59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0" w:history="1">
              <w:r w:rsidRPr="00796C5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</w:t>
              </w:r>
            </w:hyperlink>
            <w:r w:rsidRPr="00796C59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5278C6E2" w14:textId="6DB90DD4" w:rsidR="00796C59" w:rsidRPr="00BC48F6" w:rsidRDefault="00B90C82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Evet,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ancak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B90C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klinik</w:t>
            </w:r>
            <w:proofErr w:type="spellEnd"/>
            <w:r w:rsidRPr="00B90C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B90C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ihtiyaçlar</w:t>
            </w:r>
            <w:proofErr w:type="spellEnd"/>
            <w:r w:rsidR="00BC48F6" w:rsidRPr="00B90C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önerilen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C48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lityum</w:t>
            </w:r>
            <w:proofErr w:type="spellEnd"/>
            <w:r w:rsidR="00BC48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C48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taki</w:t>
            </w:r>
            <w:r w:rsidR="00160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p</w:t>
            </w:r>
            <w:proofErr w:type="spellEnd"/>
            <w:r w:rsidR="00160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C48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standartları</w:t>
            </w:r>
            <w:r w:rsidR="00160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nı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r w:rsidRPr="00796C59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(</w:t>
            </w:r>
            <w:hyperlink r:id="rId11" w:history="1">
              <w:r w:rsidRPr="00796C59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ja-JP"/>
                </w:rPr>
                <w:t>QS95 – Quality statement 5</w:t>
              </w:r>
            </w:hyperlink>
            <w:r w:rsidRPr="00796C59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)</w:t>
            </w:r>
            <w:r w:rsidR="00BC48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sürdürebilmek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için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gerekli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mevcut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kaynaklar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göz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önünde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bulundurularak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dikkatli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değerlendirme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yapılması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gerekir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  <w:r w:rsidR="00BC48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</w:p>
          <w:p w14:paraId="7E72C050" w14:textId="77777777" w:rsidR="00796C59" w:rsidRPr="00796C59" w:rsidRDefault="00796C59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  <w:p w14:paraId="5BA62D83" w14:textId="4C28DC71" w:rsidR="009E2187" w:rsidRDefault="00BC48F6" w:rsidP="003E660E">
            <w:pPr>
              <w:spacing w:before="8" w:after="8" w:line="233" w:lineRule="auto"/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Klinisyenlerin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 w:rsidR="00B90C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lityum</w:t>
            </w:r>
            <w:proofErr w:type="spellEnd"/>
            <w:r w:rsidR="00B90C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90C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tedavisine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başla</w:t>
            </w:r>
            <w:r w:rsidR="00B90C8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mak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 w:rsidRPr="005E11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için</w:t>
            </w:r>
            <w:proofErr w:type="spellEnd"/>
            <w:r w:rsidRPr="005E11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önerilen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 w:rsidR="00BF57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olağan</w:t>
            </w:r>
            <w:proofErr w:type="spellEnd"/>
            <w:r w:rsidR="00BF57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F57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prosedürleri</w:t>
            </w:r>
            <w:proofErr w:type="spellEnd"/>
            <w:r w:rsidR="00BF57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izlemeleri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gerekecektir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(</w:t>
            </w:r>
            <w:proofErr w:type="spellStart"/>
            <w:r w:rsidR="00BF57F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daha</w:t>
            </w:r>
            <w:proofErr w:type="spellEnd"/>
            <w:r w:rsidR="00BF57F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BF57F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detaylı</w:t>
            </w:r>
            <w:proofErr w:type="spellEnd"/>
            <w:r w:rsidR="00BF57F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BF57F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bilgi</w:t>
            </w:r>
            <w:proofErr w:type="spellEnd"/>
            <w:r w:rsidR="00BF57F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BF57F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için</w:t>
            </w:r>
            <w:proofErr w:type="spellEnd"/>
            <w:r w:rsidR="00BF57F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hyperlink r:id="rId12" w:history="1">
              <w:proofErr w:type="spellStart"/>
              <w:r w:rsidR="00BF57F6" w:rsidRPr="009E2187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ja-JP"/>
                </w:rPr>
                <w:t>dipnot</w:t>
              </w:r>
              <w:proofErr w:type="spellEnd"/>
              <w:r w:rsidR="00BF57F6" w:rsidRPr="009E2187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ja-JP"/>
                </w:rPr>
                <w:t xml:space="preserve"> 1</w:t>
              </w:r>
            </w:hyperlink>
            <w:r w:rsidR="009E218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’</w:t>
            </w:r>
            <w:r w:rsidR="00BF57F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e </w:t>
            </w:r>
            <w:proofErr w:type="spellStart"/>
            <w:r w:rsidR="00BF57F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bakını</w:t>
            </w:r>
            <w:r w:rsidR="009E218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z</w:t>
            </w:r>
            <w:proofErr w:type="spellEnd"/>
            <w:r w:rsidR="009E218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)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. </w:t>
            </w:r>
          </w:p>
          <w:p w14:paraId="1348B2B4" w14:textId="53E796DB" w:rsidR="00796C59" w:rsidRPr="00796C59" w:rsidRDefault="00BC48F6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Bu</w:t>
            </w:r>
            <w:r w:rsidR="004D4A9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4D4A9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prosedürler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ilaca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başlama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​​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aşamasında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sık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kan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düzeyi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takibi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gerektirdiğinden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 w:rsidR="009857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diğer</w:t>
            </w:r>
            <w:proofErr w:type="spellEnd"/>
            <w:r w:rsidR="009857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alternatifler</w:t>
            </w:r>
            <w:r w:rsidR="001608E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in</w:t>
            </w:r>
            <w:proofErr w:type="spellEnd"/>
            <w:r w:rsidR="001608E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r w:rsidR="009857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de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dikkatle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</w:t>
            </w:r>
            <w:r w:rsidR="009857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eğerlendirilmesi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gerekir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(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bkz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Soru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2).</w:t>
            </w:r>
          </w:p>
          <w:p w14:paraId="66FC5DC2" w14:textId="7F4C0B9B" w:rsidR="00796C59" w:rsidRDefault="00796C59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  <w:p w14:paraId="23663491" w14:textId="662CDF19" w:rsidR="007F0B7F" w:rsidRPr="00796C59" w:rsidRDefault="007F0B7F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Hastalar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self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izol</w:t>
            </w:r>
            <w:r w:rsidR="00BF57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asyon</w:t>
            </w:r>
            <w:proofErr w:type="spellEnd"/>
            <w:r w:rsidR="00BF57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F57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altında</w:t>
            </w:r>
            <w:proofErr w:type="spellEnd"/>
            <w:r w:rsidR="00BF57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F57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veya</w:t>
            </w:r>
            <w:proofErr w:type="spellEnd"/>
            <w:r w:rsidR="00BF57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COVID-19 </w:t>
            </w:r>
            <w:proofErr w:type="spellStart"/>
            <w:r w:rsidR="00BF57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sem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p</w:t>
            </w:r>
            <w:r w:rsidR="00BF57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t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omları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gösteriyorsa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lityumun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başlatılması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ertelenmelidir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gram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- </w:t>
            </w:r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ayrıntılı</w:t>
            </w:r>
            <w:proofErr w:type="spellEnd"/>
            <w:proofErr w:type="gramEnd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bilgi</w:t>
            </w:r>
            <w:proofErr w:type="spellEnd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için</w:t>
            </w:r>
            <w:proofErr w:type="spellEnd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aşağıdaki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soruların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cevapların</w:t>
            </w:r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</w:t>
            </w:r>
            <w:proofErr w:type="spellEnd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bakınız</w:t>
            </w:r>
            <w:proofErr w:type="spellEnd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</w:p>
          <w:p w14:paraId="4506B51F" w14:textId="12147111" w:rsidR="00796C59" w:rsidRDefault="00796C59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14:paraId="706DF10C" w14:textId="25C3F508" w:rsidR="007F0B7F" w:rsidRDefault="007F0B7F" w:rsidP="007F0B7F">
            <w:pPr>
              <w:spacing w:before="8" w:after="8" w:line="233" w:lineRule="auto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Genel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olarak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tüm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psikotrop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ilaçlar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için</w:t>
            </w:r>
            <w:proofErr w:type="spellEnd"/>
          </w:p>
          <w:p w14:paraId="699BF697" w14:textId="7C16EC21" w:rsidR="007F0B7F" w:rsidRPr="002028E2" w:rsidRDefault="007F0B7F" w:rsidP="007F0B7F">
            <w:pPr>
              <w:pStyle w:val="ListParagraph"/>
              <w:numPr>
                <w:ilvl w:val="0"/>
                <w:numId w:val="25"/>
              </w:numPr>
              <w:spacing w:before="8" w:after="8" w:line="233" w:lineRule="auto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Hastaların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antidepresan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anksiyolitik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veya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antipsikotik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ilaçlarını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 w:rsidR="004D4A9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kesmek</w:t>
            </w:r>
            <w:proofErr w:type="spellEnd"/>
            <w:r w:rsid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veya</w:t>
            </w:r>
            <w:proofErr w:type="spellEnd"/>
            <w:r w:rsid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değiştirmek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F02E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için</w:t>
            </w:r>
            <w:proofErr w:type="spellEnd"/>
            <w:r w:rsidR="00F02E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F02E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doğru</w:t>
            </w:r>
            <w:proofErr w:type="spellEnd"/>
            <w:r w:rsidR="00F02E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bir</w:t>
            </w:r>
            <w:proofErr w:type="spellEnd"/>
            <w:r w:rsid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zaman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olup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olmadığına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dikkat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edilmelidir</w:t>
            </w:r>
            <w:proofErr w:type="spellEnd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  <w:proofErr w:type="spellStart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Bazı</w:t>
            </w:r>
            <w:proofErr w:type="spellEnd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durumlarda</w:t>
            </w:r>
            <w:proofErr w:type="spellEnd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değişiklik</w:t>
            </w:r>
            <w:proofErr w:type="spellEnd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yapmak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klinik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ihtiyaçlard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dolayı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kaçınılmaz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olabilir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ancak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klinik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gerekçe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dikkatle</w:t>
            </w:r>
            <w:proofErr w:type="spellEnd"/>
            <w:r w:rsidRP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2028E2" w:rsidRP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kaydedilmeli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izlem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için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gerekli</w:t>
            </w:r>
            <w:proofErr w:type="spellEnd"/>
            <w:r w:rsidR="000F147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düzenlemeler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yapılmalıdır</w:t>
            </w:r>
            <w:proofErr w:type="spellEnd"/>
            <w:r w:rsidR="002028E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.</w:t>
            </w:r>
            <w:r>
              <w:rPr>
                <w:color w:val="000000"/>
                <w:sz w:val="14"/>
                <w:szCs w:val="14"/>
                <w:shd w:val="clear" w:color="auto" w:fill="E2F2FF"/>
              </w:rPr>
              <w:t>        </w:t>
            </w:r>
          </w:p>
          <w:p w14:paraId="12FCC00E" w14:textId="006492AB" w:rsidR="002028E2" w:rsidRPr="007F0B7F" w:rsidRDefault="002028E2" w:rsidP="007F0B7F">
            <w:pPr>
              <w:pStyle w:val="ListParagraph"/>
              <w:numPr>
                <w:ilvl w:val="0"/>
                <w:numId w:val="25"/>
              </w:numPr>
              <w:spacing w:before="8" w:after="8" w:line="233" w:lineRule="auto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Birçok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hasta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iç</w:t>
            </w:r>
            <w:r w:rsidR="000F147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in</w:t>
            </w:r>
            <w:proofErr w:type="spellEnd"/>
            <w:r w:rsidR="000F147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, </w:t>
            </w:r>
            <w:proofErr w:type="spellStart"/>
            <w:r w:rsidR="001608E5" w:rsidRP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takip</w:t>
            </w:r>
            <w:proofErr w:type="spellEnd"/>
            <w:r w:rsidR="001608E5" w:rsidRP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1608E5" w:rsidRP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eden</w:t>
            </w:r>
            <w:proofErr w:type="spellEnd"/>
            <w:r w:rsidR="001608E5" w:rsidRP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1608E5" w:rsidRP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doktoru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veya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4D4A9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diğer</w:t>
            </w:r>
            <w:proofErr w:type="spellEnd"/>
            <w:r w:rsidR="004D4A9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sağlık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hizmeti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4D4A95" w:rsidRP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çalışanları</w:t>
            </w:r>
            <w:proofErr w:type="spellEnd"/>
            <w:r w:rsidR="004D4A9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tarafından</w:t>
            </w:r>
            <w:proofErr w:type="spellEnd"/>
            <w:r w:rsid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0F147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yüz</w:t>
            </w:r>
            <w:proofErr w:type="spellEnd"/>
            <w:r w:rsidR="000F147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0F147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yüze</w:t>
            </w:r>
            <w:proofErr w:type="spellEnd"/>
            <w:r w:rsidR="000F147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0F147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değerlendirilip</w:t>
            </w:r>
            <w:proofErr w:type="spellEnd"/>
            <w:r w:rsid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 w:rsidR="000F147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ortak</w:t>
            </w:r>
            <w:proofErr w:type="spellEnd"/>
            <w:r w:rsidR="000F147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0F147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karar</w:t>
            </w:r>
            <w:proofErr w:type="spellEnd"/>
            <w:r w:rsid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verme</w:t>
            </w:r>
            <w:proofErr w:type="spellEnd"/>
            <w:r w:rsid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sürecine</w:t>
            </w:r>
            <w:proofErr w:type="spellEnd"/>
            <w:r w:rsid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hasta da </w:t>
            </w:r>
            <w:proofErr w:type="spellStart"/>
            <w:r w:rsid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dahil</w:t>
            </w:r>
            <w:proofErr w:type="spellEnd"/>
            <w:r w:rsid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8044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edilinceye</w:t>
            </w:r>
            <w:proofErr w:type="spellEnd"/>
            <w:r w:rsidR="000F147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kadar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 w:rsidR="007D54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mevcut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ilaç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tedavisine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devam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edilmesi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160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önerilebilir</w:t>
            </w:r>
            <w:proofErr w:type="spellEnd"/>
            <w:r w:rsidR="00160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Aşırı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stres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sosyal</w:t>
            </w:r>
            <w:proofErr w:type="spellEnd"/>
            <w:r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DF6FA6"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hayatta</w:t>
            </w:r>
            <w:proofErr w:type="spellEnd"/>
            <w:r w:rsidR="00DF6FA6"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DF6FA6"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ortaya</w:t>
            </w:r>
            <w:proofErr w:type="spellEnd"/>
            <w:r w:rsidR="00DF6FA6"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DF6FA6"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çıkan</w:t>
            </w:r>
            <w:proofErr w:type="spellEnd"/>
            <w:r w:rsidR="00DF6FA6"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DF6FA6"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değişiklikler</w:t>
            </w:r>
            <w:proofErr w:type="spellEnd"/>
            <w:r w:rsid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karşısında</w:t>
            </w:r>
            <w:proofErr w:type="spellEnd"/>
            <w:r w:rsid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anksiyete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depres</w:t>
            </w:r>
            <w:r w:rsidR="001608E5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yon</w:t>
            </w:r>
            <w:proofErr w:type="spellEnd"/>
            <w:r w:rsidR="001608E5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psiko</w:t>
            </w:r>
            <w:r w:rsidR="001608E5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z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semptomlar</w:t>
            </w:r>
            <w:r w:rsidR="001608E5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ın</w:t>
            </w:r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da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kötüleşme</w:t>
            </w:r>
            <w:proofErr w:type="spellEnd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ortaya</w:t>
            </w:r>
            <w:proofErr w:type="spellEnd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çıkabileceği</w:t>
            </w:r>
            <w:proofErr w:type="spellEnd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göz</w:t>
            </w:r>
            <w:proofErr w:type="spellEnd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önünde</w:t>
            </w:r>
            <w:proofErr w:type="spellEnd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bulundurul</w:t>
            </w:r>
            <w:r w:rsidRPr="006244A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malıdır</w:t>
            </w:r>
            <w:proofErr w:type="spellEnd"/>
            <w:r w:rsidRPr="005E11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  <w:proofErr w:type="spellStart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Hastalar</w:t>
            </w:r>
            <w:proofErr w:type="spellEnd"/>
            <w:r w:rsidR="007D54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D54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bu</w:t>
            </w:r>
            <w:proofErr w:type="spellEnd"/>
            <w:r w:rsidR="007D54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7D54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dönemde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, </w:t>
            </w:r>
            <w:proofErr w:type="spellStart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afektif</w:t>
            </w:r>
            <w:proofErr w:type="spellEnd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veya</w:t>
            </w:r>
            <w:proofErr w:type="spellEnd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psikotik</w:t>
            </w:r>
            <w:proofErr w:type="spellEnd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hastalıklar</w:t>
            </w:r>
            <w:proofErr w:type="spellEnd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bakımından</w:t>
            </w:r>
            <w:proofErr w:type="spellEnd"/>
            <w:r w:rsidR="005E11BD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1608E5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relaps</w:t>
            </w:r>
            <w:proofErr w:type="spellEnd"/>
            <w:r w:rsidR="001608E5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1608E5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ve</w:t>
            </w:r>
            <w:proofErr w:type="spellEnd"/>
            <w:r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A1525C" w:rsidRPr="005E11B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rekürrens</w:t>
            </w:r>
            <w:proofErr w:type="spellEnd"/>
            <w:r w:rsidR="00A1525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riski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altında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olacaktır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</w:p>
          <w:p w14:paraId="0F1D58A1" w14:textId="12853AEE" w:rsidR="00A1525C" w:rsidRPr="00A1525C" w:rsidRDefault="001A6C87" w:rsidP="003E660E">
            <w:pPr>
              <w:numPr>
                <w:ilvl w:val="0"/>
                <w:numId w:val="5"/>
              </w:num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lastRenderedPageBreak/>
              <w:t>Hastalara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, COVID-19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pandemisi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esnasında</w:t>
            </w:r>
            <w:proofErr w:type="spellEnd"/>
            <w:r w:rsidR="005E11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812B0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rutin</w:t>
            </w:r>
            <w:proofErr w:type="spellEnd"/>
            <w:r w:rsidR="00812B04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6244A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sağlık</w:t>
            </w:r>
            <w:proofErr w:type="spellEnd"/>
            <w:r w:rsidR="006244A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6244A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hizmetlerinde</w:t>
            </w:r>
            <w:proofErr w:type="spellEnd"/>
            <w:r w:rsidR="005E11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ortaya</w:t>
            </w:r>
            <w:proofErr w:type="spellEnd"/>
            <w:r w:rsidR="005E11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5E11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çıkan</w:t>
            </w:r>
            <w:proofErr w:type="spellEnd"/>
            <w:r w:rsidR="005E11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aksamalar</w:t>
            </w:r>
            <w:proofErr w:type="spellEnd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/</w:t>
            </w:r>
            <w:proofErr w:type="spellStart"/>
            <w:r w:rsidR="007D54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değişiklikler</w:t>
            </w:r>
            <w:proofErr w:type="spellEnd"/>
            <w:r w:rsid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r w:rsidR="005E11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normal </w:t>
            </w:r>
            <w:proofErr w:type="spellStart"/>
            <w:r w:rsidR="005E11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haline</w:t>
            </w:r>
            <w:proofErr w:type="spellEnd"/>
            <w:r w:rsidR="005E11B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dönünceye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kadar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mevcut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2667E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tedavilerine</w:t>
            </w:r>
            <w:proofErr w:type="spellEnd"/>
            <w:r w:rsidR="002667E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devam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etmeleri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2F2FF"/>
              </w:rPr>
              <w:t>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konusunda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tavsiyelerde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bulunu</w:t>
            </w:r>
            <w:r w:rsidR="001608E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n</w:t>
            </w:r>
            <w:proofErr w:type="spellEnd"/>
            <w:r w:rsidR="001608E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  <w:proofErr w:type="spellStart"/>
            <w:r w:rsidR="001608E5" w:rsidRP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</w:t>
            </w:r>
            <w:r w:rsidR="00BD1DF5" w:rsidRP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ncak</w:t>
            </w:r>
            <w:proofErr w:type="spellEnd"/>
            <w:r w:rsidR="00BD1DF5" w:rsidRP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D1DF5" w:rsidRP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sonrasında</w:t>
            </w:r>
            <w:proofErr w:type="spellEnd"/>
            <w:r w:rsidR="00BD1DF5" w:rsidRP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,</w:t>
            </w:r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1608E5" w:rsidRPr="006135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takip</w:t>
            </w:r>
            <w:proofErr w:type="spellEnd"/>
            <w:r w:rsidR="001608E5" w:rsidRPr="006135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1608E5" w:rsidRPr="006135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eden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doktorlarıyla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görüşerek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doz</w:t>
            </w:r>
            <w:proofErr w:type="spellEnd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azaltımının</w:t>
            </w:r>
            <w:proofErr w:type="spellEnd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veya</w:t>
            </w:r>
            <w:proofErr w:type="spellEnd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ilacı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P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kes</w:t>
            </w:r>
            <w:r w:rsidR="00BD1DF5" w:rsidRP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menin</w:t>
            </w:r>
            <w:proofErr w:type="spellEnd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uygun</w:t>
            </w:r>
            <w:proofErr w:type="spellEnd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olup</w:t>
            </w:r>
            <w:proofErr w:type="spellEnd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olmadığını</w:t>
            </w:r>
            <w:proofErr w:type="spellEnd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 </w:t>
            </w:r>
            <w:proofErr w:type="spellStart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>değerlendirin</w:t>
            </w:r>
            <w:proofErr w:type="spellEnd"/>
            <w:r w:rsidR="00BD1DF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2F2FF"/>
              </w:rPr>
              <w:t xml:space="preserve">. </w:t>
            </w:r>
          </w:p>
          <w:p w14:paraId="20BEE944" w14:textId="61EE0F3F" w:rsidR="00796C59" w:rsidRPr="00796C59" w:rsidRDefault="00796C59" w:rsidP="001A6C87">
            <w:pPr>
              <w:spacing w:before="8" w:after="8" w:line="233" w:lineRule="auto"/>
              <w:ind w:left="720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796C59" w:rsidRPr="00796C59" w14:paraId="6BE16961" w14:textId="77777777" w:rsidTr="00796C59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auto"/>
          </w:tcPr>
          <w:p w14:paraId="49EB6E7F" w14:textId="050EE9AF" w:rsidR="001A6C87" w:rsidRDefault="001A6C87" w:rsidP="00796C59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Hastama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lityum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başlayamazsam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diğer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seçeneklerim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nelerdir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?</w:t>
            </w:r>
          </w:p>
          <w:p w14:paraId="34AC6F74" w14:textId="34F35477" w:rsidR="00796C59" w:rsidRPr="00796C59" w:rsidRDefault="00796C59" w:rsidP="001A6C87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auto"/>
          </w:tcPr>
          <w:p w14:paraId="4FC854DC" w14:textId="0C6F71F8" w:rsidR="000A6332" w:rsidRDefault="00BE297C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Lityum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veya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başka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herhangi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608E5"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ilaç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kullanmıyla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ilgili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verilecek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kararlar</w:t>
            </w:r>
            <w:proofErr w:type="spellEnd"/>
            <w:r w:rsidR="000A6332"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,</w:t>
            </w:r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hastanın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tanısı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mevcut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tedavi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seçeneklerine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bağlı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olarak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,</w:t>
            </w:r>
            <w:r w:rsidR="000A6332"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COVID-19 </w:t>
            </w:r>
            <w:proofErr w:type="spellStart"/>
            <w:r w:rsidR="000A6332"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salgını</w:t>
            </w:r>
            <w:proofErr w:type="spellEnd"/>
            <w:r w:rsidR="000A6332"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A6332"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sı</w:t>
            </w:r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rasında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kan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testi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yaptırma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A6332"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="000A6332"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yüz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yüze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izlem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konusunda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ortaya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çıkabilecek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güçlükler</w:t>
            </w:r>
            <w:proofErr w:type="spellEnd"/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03117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göz</w:t>
            </w:r>
            <w:proofErr w:type="spellEnd"/>
            <w:r w:rsid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önünde</w:t>
            </w:r>
            <w:proofErr w:type="spellEnd"/>
            <w:r w:rsid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bulundurularak</w:t>
            </w:r>
            <w:proofErr w:type="spellEnd"/>
            <w:r w:rsid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alın</w:t>
            </w:r>
            <w:r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malıdır</w:t>
            </w:r>
            <w:proofErr w:type="spellEnd"/>
            <w:r w:rsidR="000A6332" w:rsidRPr="00DF6F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6EE3401F" w14:textId="77777777" w:rsidR="000A6332" w:rsidRPr="00796C59" w:rsidRDefault="000A6332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  <w:p w14:paraId="06843B93" w14:textId="68B67F3E" w:rsidR="000A6332" w:rsidRDefault="000A6332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Daha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fazla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öneri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için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lütfen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yerel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ulusal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rehber</w:t>
            </w:r>
            <w:r w:rsidR="006D6C6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</w:t>
            </w:r>
            <w:r w:rsidR="006D6C6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başvurun</w:t>
            </w:r>
            <w:proofErr w:type="spellEnd"/>
            <w:r w:rsidR="001608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58213C82" w14:textId="77777777" w:rsidR="00796C59" w:rsidRPr="00796C59" w:rsidRDefault="00796C59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  <w:p w14:paraId="0E1B23FE" w14:textId="3CD489A5" w:rsidR="00796C59" w:rsidRPr="00796C59" w:rsidRDefault="00DF6FA6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DF6FA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İngiltere</w:t>
            </w:r>
            <w:proofErr w:type="spellEnd"/>
            <w:r w:rsidRPr="00DF6FA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6FA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u</w:t>
            </w:r>
            <w:r w:rsidR="006D6C69" w:rsidRPr="00DF6FA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lusal</w:t>
            </w:r>
            <w:proofErr w:type="spellEnd"/>
            <w:r w:rsidR="006D6C69" w:rsidRPr="00DF6FA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6D6C69" w:rsidRPr="00DF6FA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rehber</w:t>
            </w:r>
            <w:proofErr w:type="spellEnd"/>
            <w:r w:rsidR="006D6C69" w:rsidRPr="00DF6FA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6D6C69" w:rsidRPr="00DF6FA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önerileri</w:t>
            </w:r>
            <w:proofErr w:type="spellEnd"/>
            <w:r w:rsidR="006D6C69" w:rsidRPr="00DF6FA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:</w:t>
            </w:r>
          </w:p>
          <w:p w14:paraId="424075CE" w14:textId="227FF1C5" w:rsidR="00796C59" w:rsidRPr="00796C59" w:rsidRDefault="00FF3CD1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hyperlink r:id="rId13" w:history="1">
              <w:r w:rsidR="00796C59" w:rsidRPr="00796C59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ja-JP"/>
                </w:rPr>
                <w:t>NICE clinical guideline 185 on bipolar disorder: assessment and management</w:t>
              </w:r>
            </w:hyperlink>
            <w:r w:rsidR="00796C59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.</w:t>
            </w:r>
            <w:r w:rsidR="00796C59" w:rsidRPr="00796C59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14:paraId="3DF431F5" w14:textId="21E70503" w:rsidR="00796C59" w:rsidRPr="00796C59" w:rsidRDefault="00FF3CD1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hyperlink r:id="rId14" w:history="1">
              <w:r w:rsidR="00796C59" w:rsidRPr="00796C59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ja-JP"/>
                </w:rPr>
                <w:t>BAP guidelines on bipolar disorder</w:t>
              </w:r>
            </w:hyperlink>
            <w:r w:rsidR="00796C59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.</w:t>
            </w:r>
          </w:p>
          <w:p w14:paraId="5C2D60D7" w14:textId="65938978" w:rsidR="00796C59" w:rsidRPr="00796C59" w:rsidRDefault="00FF3CD1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hyperlink r:id="rId15" w:history="1">
              <w:r w:rsidR="00796C59" w:rsidRPr="00796C59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ja-JP"/>
                </w:rPr>
                <w:t>BAP guidelines on antidepressants</w:t>
              </w:r>
            </w:hyperlink>
            <w:r w:rsidR="00796C59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.</w:t>
            </w:r>
          </w:p>
          <w:p w14:paraId="53E8F3F7" w14:textId="77777777" w:rsidR="00796C59" w:rsidRPr="00796C59" w:rsidRDefault="00796C59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  <w:p w14:paraId="2AE43F19" w14:textId="3B72718D" w:rsidR="00796C59" w:rsidRPr="00796C59" w:rsidRDefault="006D6C69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DF6FA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Diğer</w:t>
            </w:r>
            <w:proofErr w:type="spellEnd"/>
            <w:r w:rsidRPr="00DF6FA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6FA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ilgili</w:t>
            </w:r>
            <w:proofErr w:type="spellEnd"/>
            <w:r w:rsidRPr="00DF6FA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6FA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kaynaklar</w:t>
            </w:r>
            <w:proofErr w:type="spellEnd"/>
            <w:r w:rsidRPr="00DF6FA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:</w:t>
            </w:r>
          </w:p>
          <w:p w14:paraId="115558EF" w14:textId="16B8282C" w:rsidR="00796C59" w:rsidRPr="00796C59" w:rsidRDefault="00FF3CD1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hyperlink r:id="rId16" w:history="1">
              <w:r w:rsidR="00796C59" w:rsidRPr="00796C59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ja-JP"/>
                </w:rPr>
                <w:t>Lithium in the prevention of suicide in mood disorders: updated systematic review and meta-analysis</w:t>
              </w:r>
            </w:hyperlink>
            <w:r w:rsidR="00796C59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.</w:t>
            </w:r>
          </w:p>
          <w:p w14:paraId="74C94BDC" w14:textId="5BF0ECF4" w:rsidR="00796C59" w:rsidRDefault="00FF3CD1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hyperlink r:id="rId17" w:history="1">
              <w:r w:rsidR="00796C59" w:rsidRPr="00796C59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ja-JP"/>
                </w:rPr>
                <w:t>Lithium and suicide in mood disorders: Updated meta‐review of the scientific literature</w:t>
              </w:r>
            </w:hyperlink>
            <w:r w:rsidR="00796C59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.</w:t>
            </w:r>
          </w:p>
          <w:p w14:paraId="58185D41" w14:textId="486636CB" w:rsidR="00796C59" w:rsidRPr="00003411" w:rsidRDefault="00FF3CD1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ja-JP"/>
              </w:rPr>
            </w:pPr>
            <w:hyperlink r:id="rId18" w:history="1">
              <w:r w:rsidR="00796C59" w:rsidRPr="004D380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ja-JP"/>
                </w:rPr>
                <w:t>Comparative efficacy, acceptability, and tolerability of augmentation agents in treatment-resistant depression: systematic review and network meta-analysis</w:t>
              </w:r>
            </w:hyperlink>
            <w:r w:rsidR="00796C59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.</w:t>
            </w:r>
          </w:p>
          <w:p w14:paraId="563C8C5B" w14:textId="77777777" w:rsidR="00796C59" w:rsidRPr="00796C59" w:rsidRDefault="00796C59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B04713" w:rsidRPr="00796C59" w14:paraId="0AC97E27" w14:textId="77777777" w:rsidTr="00D54077">
        <w:tc>
          <w:tcPr>
            <w:tcW w:w="5000" w:type="pct"/>
            <w:gridSpan w:val="2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147"/>
          </w:tcPr>
          <w:p w14:paraId="619501ED" w14:textId="38F5D2FD" w:rsidR="00C134AF" w:rsidRPr="00796C59" w:rsidRDefault="00003411" w:rsidP="003E660E">
            <w:pPr>
              <w:spacing w:before="8" w:after="8" w:line="233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Olası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COVID-19 </w:t>
            </w:r>
            <w:proofErr w:type="spellStart"/>
            <w:r w:rsidRPr="00DF6FA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durumunda</w:t>
            </w:r>
            <w:proofErr w:type="spellEnd"/>
            <w:r w:rsidRPr="00DF6FA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</w:t>
            </w:r>
            <w:r w:rsidR="000F7A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ityum</w:t>
            </w:r>
            <w:proofErr w:type="spellEnd"/>
            <w:r w:rsidR="000F7A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7A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düzey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ler</w:t>
            </w:r>
            <w:r w:rsidR="000F7A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inin</w:t>
            </w:r>
            <w:proofErr w:type="spellEnd"/>
            <w:r w:rsidR="000F7A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7A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ölçülmesi</w:t>
            </w:r>
            <w:proofErr w:type="spellEnd"/>
            <w:r w:rsidR="000F7A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F6FA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değerlendirilmesi</w:t>
            </w:r>
            <w:proofErr w:type="spellEnd"/>
          </w:p>
        </w:tc>
      </w:tr>
      <w:tr w:rsidR="00796C59" w:rsidRPr="00796C59" w14:paraId="43FA7B0A" w14:textId="77777777" w:rsidTr="00796C59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0F2FF"/>
          </w:tcPr>
          <w:p w14:paraId="4688F578" w14:textId="19E49667" w:rsidR="009C15BE" w:rsidRDefault="009C15BE" w:rsidP="00796C59">
            <w:pPr>
              <w:spacing w:before="8" w:after="8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Kararlı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bir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lityum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dozunda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devam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eden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BE297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hastalarıma</w:t>
            </w:r>
            <w:proofErr w:type="spellEnd"/>
            <w:r w:rsidRPr="00BE297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r w:rsidR="00BE297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ne </w:t>
            </w:r>
            <w:proofErr w:type="spellStart"/>
            <w:r w:rsidR="00BE297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gibi</w:t>
            </w:r>
            <w:proofErr w:type="spellEnd"/>
            <w:r w:rsidRPr="00BE297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BE297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tavsiye</w:t>
            </w:r>
            <w:r w:rsidR="00BE297C" w:rsidRPr="00BE297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ler</w:t>
            </w:r>
            <w:r w:rsidRPr="00BE297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de</w:t>
            </w:r>
            <w:proofErr w:type="spellEnd"/>
            <w:r w:rsidRPr="00BE297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BE297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bulunmalıyım</w:t>
            </w:r>
            <w:proofErr w:type="spellEnd"/>
            <w:r w:rsidRPr="00BE297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?</w:t>
            </w:r>
          </w:p>
          <w:p w14:paraId="18E210AE" w14:textId="77777777" w:rsidR="00796C59" w:rsidRPr="00A228F5" w:rsidRDefault="00796C59" w:rsidP="00B0471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9" w:history="1">
              <w:r w:rsidRPr="00A228F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6A020717" w14:textId="2A989A31" w:rsidR="00796C59" w:rsidRPr="00A228F5" w:rsidRDefault="00796C59" w:rsidP="00B0471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0" w:history="1">
              <w:r w:rsidRPr="00A228F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</w:t>
              </w:r>
            </w:hyperlink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35B80217" w14:textId="3E9B1ABF" w:rsidR="00796C59" w:rsidRPr="00A228F5" w:rsidRDefault="00796C59" w:rsidP="00B0471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1" w:history="1">
              <w:r w:rsidRPr="00A228F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link4</w:t>
              </w:r>
            </w:hyperlink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6F34F76E" w14:textId="77777777" w:rsidR="00A228F5" w:rsidRPr="00A228F5" w:rsidRDefault="00A228F5" w:rsidP="00A228F5">
            <w:pPr>
              <w:spacing w:before="8" w:after="8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r w:rsidRPr="00A228F5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A228F5">
              <w:rPr>
                <w:rFonts w:asciiTheme="majorHAnsi" w:hAnsiTheme="majorHAnsi" w:cstheme="majorHAnsi"/>
                <w:sz w:val="20"/>
                <w:szCs w:val="20"/>
              </w:rPr>
              <w:instrText xml:space="preserve"> HYPERLINK "https://www.sps.nhs.uk/articles/lithium-drug-monitoring-in-primary-care-during-covid-19-for-stable-patients/" </w:instrText>
            </w:r>
            <w:r w:rsidRPr="00A228F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228F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[link10]</w:t>
            </w:r>
          </w:p>
          <w:p w14:paraId="51CE6B2B" w14:textId="5E053750" w:rsidR="00A228F5" w:rsidRPr="00796C59" w:rsidRDefault="00A228F5" w:rsidP="00A228F5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228F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0F2FF"/>
          </w:tcPr>
          <w:p w14:paraId="32F55AE2" w14:textId="3EE0F281" w:rsidR="00796C59" w:rsidRPr="000A1A33" w:rsidRDefault="009C15BE" w:rsidP="003E660E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Genel</w:t>
            </w:r>
            <w:proofErr w:type="spellEnd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olarak</w:t>
            </w:r>
            <w:proofErr w:type="spellEnd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tüm</w:t>
            </w:r>
            <w:proofErr w:type="spellEnd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hastalara</w:t>
            </w:r>
            <w:proofErr w:type="spellEnd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hatırlatın</w:t>
            </w:r>
            <w:proofErr w:type="spellEnd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09AC60A7" w14:textId="60C80049" w:rsidR="00796C59" w:rsidRPr="000A1A33" w:rsidRDefault="008E7EAA" w:rsidP="003E660E">
            <w:pPr>
              <w:numPr>
                <w:ilvl w:val="0"/>
                <w:numId w:val="6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Önerilmediği</w:t>
            </w:r>
            <w:proofErr w:type="spellEnd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müddetçe</w:t>
            </w:r>
            <w:proofErr w:type="spellEnd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lityumu</w:t>
            </w:r>
            <w:proofErr w:type="spellEnd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aniden</w:t>
            </w:r>
            <w:proofErr w:type="spellEnd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kesmeyin</w:t>
            </w:r>
            <w:proofErr w:type="spellEnd"/>
            <w:r w:rsidR="00796C59" w:rsidRPr="000A1A3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915AF94" w14:textId="3B4488A9" w:rsidR="000A1A33" w:rsidRPr="000A1A33" w:rsidRDefault="008E7EAA" w:rsidP="000A1A33">
            <w:pPr>
              <w:numPr>
                <w:ilvl w:val="0"/>
                <w:numId w:val="6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Reçetelerin</w:t>
            </w:r>
            <w:proofErr w:type="spellEnd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yazılmasında</w:t>
            </w:r>
            <w:proofErr w:type="spellEnd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gecikmeler</w:t>
            </w:r>
            <w:proofErr w:type="spellEnd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1A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olabileceğinden</w:t>
            </w:r>
            <w:proofErr w:type="spellEnd"/>
            <w:r w:rsidRPr="000A1A3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1D5170" w:rsidRPr="000A1A33">
              <w:rPr>
                <w:rFonts w:asciiTheme="majorHAnsi" w:hAnsiTheme="majorHAnsi" w:cstheme="majorHAnsi"/>
                <w:sz w:val="20"/>
                <w:szCs w:val="20"/>
              </w:rPr>
              <w:t>el</w:t>
            </w:r>
            <w:r w:rsidR="0067248D">
              <w:rPr>
                <w:rFonts w:asciiTheme="majorHAnsi" w:hAnsiTheme="majorHAnsi" w:cstheme="majorHAnsi"/>
                <w:sz w:val="20"/>
                <w:szCs w:val="20"/>
              </w:rPr>
              <w:t>inizde</w:t>
            </w:r>
            <w:proofErr w:type="spellEnd"/>
            <w:r w:rsidR="006724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7248D">
              <w:rPr>
                <w:rFonts w:asciiTheme="majorHAnsi" w:hAnsiTheme="majorHAnsi" w:cstheme="majorHAnsi"/>
                <w:sz w:val="20"/>
                <w:szCs w:val="20"/>
              </w:rPr>
              <w:t>mevcut</w:t>
            </w:r>
            <w:proofErr w:type="spellEnd"/>
            <w:r w:rsidR="006724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7248D">
              <w:rPr>
                <w:rFonts w:asciiTheme="majorHAnsi" w:hAnsiTheme="majorHAnsi" w:cstheme="majorHAnsi"/>
                <w:sz w:val="20"/>
                <w:szCs w:val="20"/>
              </w:rPr>
              <w:t>olan</w:t>
            </w:r>
            <w:proofErr w:type="spellEnd"/>
            <w:r w:rsidR="006724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20ED0">
              <w:rPr>
                <w:rFonts w:asciiTheme="majorHAnsi" w:hAnsiTheme="majorHAnsi" w:cstheme="majorHAnsi"/>
                <w:sz w:val="20"/>
                <w:szCs w:val="20"/>
              </w:rPr>
              <w:t>ilaçlar</w:t>
            </w:r>
            <w:proofErr w:type="spellEnd"/>
            <w:r w:rsidR="00620ED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20ED0">
              <w:rPr>
                <w:rFonts w:asciiTheme="majorHAnsi" w:hAnsiTheme="majorHAnsi" w:cstheme="majorHAnsi"/>
                <w:sz w:val="20"/>
                <w:szCs w:val="20"/>
              </w:rPr>
              <w:t>tamamen</w:t>
            </w:r>
            <w:proofErr w:type="spellEnd"/>
            <w:r w:rsidR="001D5170" w:rsidRPr="000A1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20E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tükenmeden</w:t>
            </w:r>
            <w:proofErr w:type="spellEnd"/>
            <w:r w:rsidR="00620E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20E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tekrar</w:t>
            </w:r>
            <w:proofErr w:type="spellEnd"/>
            <w:r w:rsidR="00620E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20E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yazdırmak</w:t>
            </w:r>
            <w:proofErr w:type="spellEnd"/>
            <w:r w:rsidR="00620E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20E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="00620E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20E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başvuruda</w:t>
            </w:r>
            <w:proofErr w:type="spellEnd"/>
            <w:r w:rsidR="00620E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20E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bulunun</w:t>
            </w:r>
            <w:proofErr w:type="spellEnd"/>
            <w:r w:rsidR="006724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70577479" w14:textId="350F2078" w:rsidR="008E7EAA" w:rsidRPr="000A1A33" w:rsidRDefault="008E7EAA" w:rsidP="000A1A33">
            <w:pPr>
              <w:numPr>
                <w:ilvl w:val="0"/>
                <w:numId w:val="6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A1A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İshal</w:t>
            </w:r>
            <w:proofErr w:type="spellEnd"/>
            <w:r w:rsidRPr="000A1A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A1A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veya</w:t>
            </w:r>
            <w:proofErr w:type="spellEnd"/>
            <w:r w:rsidRPr="000A1A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A1A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kusma</w:t>
            </w:r>
            <w:proofErr w:type="spellEnd"/>
            <w:r w:rsidRPr="000A1A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 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olursa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 </w:t>
            </w:r>
            <w:proofErr w:type="spellStart"/>
            <w:r w:rsidRPr="000A1A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veya</w:t>
            </w:r>
            <w:proofErr w:type="spellEnd"/>
            <w:r w:rsidRPr="000A1A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 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herhangi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bir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nedenle</w:t>
            </w:r>
            <w:proofErr w:type="spellEnd"/>
            <w:r w:rsidR="006B55A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kendinizi</w:t>
            </w:r>
            <w:proofErr w:type="spellEnd"/>
            <w:r w:rsid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iyi</w:t>
            </w:r>
            <w:proofErr w:type="spellEnd"/>
            <w:r w:rsid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hissetmemeye</w:t>
            </w:r>
            <w:proofErr w:type="spellEnd"/>
            <w:r w:rsid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başlarsanız</w:t>
            </w:r>
            <w:proofErr w:type="spellEnd"/>
            <w:r w:rsidRPr="000A1A3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 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tıbbi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yardım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isteyin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.</w:t>
            </w:r>
            <w:r w:rsidRPr="000A1A33">
              <w:rPr>
                <w:color w:val="000000"/>
                <w:sz w:val="14"/>
                <w:szCs w:val="14"/>
                <w:shd w:val="clear" w:color="auto" w:fill="E0F2FF"/>
              </w:rPr>
              <w:t>   </w:t>
            </w:r>
          </w:p>
          <w:p w14:paraId="004E0FE8" w14:textId="148431BC" w:rsidR="000A1A33" w:rsidRPr="000A1A33" w:rsidRDefault="008E7EAA" w:rsidP="000A1A33">
            <w:pPr>
              <w:numPr>
                <w:ilvl w:val="0"/>
                <w:numId w:val="6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Özellikle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67248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ateşiniz</w:t>
            </w:r>
            <w:proofErr w:type="spellEnd"/>
            <w:r w:rsidR="0067248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67248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varsa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, 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uzun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süre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hareketsiz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kalıyorsa</w:t>
            </w:r>
            <w:r w:rsidR="0067248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nız</w:t>
            </w:r>
            <w:proofErr w:type="spellEnd"/>
            <w:r w:rsidR="0067248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,</w:t>
            </w:r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r w:rsid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alt </w:t>
            </w:r>
            <w:proofErr w:type="spellStart"/>
            <w:r w:rsid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solunum</w:t>
            </w:r>
            <w:proofErr w:type="spellEnd"/>
            <w:r w:rsid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DF6FA6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yolu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enfeksiyonu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veya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pnömo</w:t>
            </w:r>
            <w:r w:rsidR="00727C80"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n</w:t>
            </w:r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i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geliş</w:t>
            </w:r>
            <w:r w:rsidR="009F3DB0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tiy</w:t>
            </w:r>
            <w:r w:rsidR="00727C80"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se</w:t>
            </w:r>
            <w:proofErr w:type="spellEnd"/>
            <w:r w:rsidRPr="000A1A3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 </w:t>
            </w:r>
            <w:proofErr w:type="spellStart"/>
            <w:r w:rsidR="009F3DB0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yeterli</w:t>
            </w:r>
            <w:proofErr w:type="spellEnd"/>
            <w:r w:rsidR="009F3DB0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9F3DB0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miktarda</w:t>
            </w:r>
            <w:proofErr w:type="spellEnd"/>
            <w:r w:rsidR="009F3DB0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sıvı</w:t>
            </w:r>
            <w:proofErr w:type="spellEnd"/>
            <w:r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9F3DB0"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aldığınızdan</w:t>
            </w:r>
            <w:proofErr w:type="spellEnd"/>
            <w:r w:rsidR="009F3DB0"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9F3DB0"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emin</w:t>
            </w:r>
            <w:proofErr w:type="spellEnd"/>
            <w:r w:rsidR="009F3DB0"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9F3DB0"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olun</w:t>
            </w:r>
            <w:proofErr w:type="spellEnd"/>
            <w:r w:rsidR="0067248D" w:rsidRPr="00DF6FA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.</w:t>
            </w:r>
          </w:p>
          <w:p w14:paraId="66D04E72" w14:textId="48B500DD" w:rsidR="000A1A33" w:rsidRPr="000A1A33" w:rsidRDefault="009F3DB0" w:rsidP="000A1A33">
            <w:pPr>
              <w:numPr>
                <w:ilvl w:val="0"/>
                <w:numId w:val="6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İlaç tedavinizdeki değişiklikler konusunda tedavi</w:t>
            </w:r>
            <w:r w:rsidR="000A1A33" w:rsidRPr="000A1A3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ekibini </w:t>
            </w:r>
            <w:r w:rsidR="000A1A3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bilgilendirin.</w:t>
            </w:r>
            <w:r w:rsidR="000A1A33" w:rsidRPr="000A1A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      </w:t>
            </w:r>
          </w:p>
          <w:p w14:paraId="6C632981" w14:textId="36319398" w:rsidR="000A1A33" w:rsidRPr="000A1A33" w:rsidRDefault="0093406A" w:rsidP="000A1A33">
            <w:pPr>
              <w:numPr>
                <w:ilvl w:val="0"/>
                <w:numId w:val="6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3406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</w:t>
            </w:r>
            <w:r w:rsidR="0017735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on-</w:t>
            </w:r>
            <w:r w:rsidR="000A1A33" w:rsidRPr="0093406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steroid</w:t>
            </w:r>
            <w:proofErr w:type="spellEnd"/>
            <w:r w:rsidR="000A1A33" w:rsidRPr="0093406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anti-</w:t>
            </w:r>
            <w:proofErr w:type="spellStart"/>
            <w:r w:rsidR="003C4C7D" w:rsidRPr="0093406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</w:t>
            </w:r>
            <w:r w:rsidR="009F3DB0" w:rsidRPr="0093406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nflamatuar</w:t>
            </w:r>
            <w:proofErr w:type="spellEnd"/>
            <w:r w:rsidR="009F3DB0" w:rsidRPr="0093406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ilaçlar</w:t>
            </w:r>
            <w:r w:rsidRPr="0093406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ı</w:t>
            </w:r>
            <w:r w:rsidR="009F3DB0" w:rsidRPr="0093406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(</w:t>
            </w:r>
            <w:proofErr w:type="spellStart"/>
            <w:r w:rsidR="009F3DB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örn</w:t>
            </w:r>
            <w:proofErr w:type="spellEnd"/>
            <w:r w:rsidR="009F3DB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. </w:t>
            </w:r>
            <w:proofErr w:type="spellStart"/>
            <w:r w:rsidR="009F3DB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</w:t>
            </w:r>
            <w:r w:rsidR="000A1A33" w:rsidRPr="000A1A3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buprofen</w:t>
            </w:r>
            <w:proofErr w:type="spellEnd"/>
            <w:r w:rsidR="000A1A33" w:rsidRPr="000A1A3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)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reçetesiz</w:t>
            </w:r>
            <w:r w:rsidR="000A1A33" w:rsidRPr="000A1A3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alma</w:t>
            </w:r>
            <w:r w:rsidR="000A1A3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yın</w:t>
            </w:r>
            <w:r w:rsidR="000A1A33" w:rsidRPr="000A1A3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  <w:r w:rsidR="000A1A3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Lityum kullanan</w:t>
            </w:r>
            <w:r w:rsidR="000A1A33" w:rsidRPr="000A1A3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</w:t>
            </w:r>
            <w:r w:rsidR="0067248D" w:rsidRPr="00177359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val="tr-TR" w:eastAsia="tr-TR"/>
              </w:rPr>
              <w:t>ha</w:t>
            </w:r>
            <w:r w:rsidR="000A1A33" w:rsidRPr="00177359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val="tr-TR" w:eastAsia="tr-TR"/>
              </w:rPr>
              <w:t>stalar </w:t>
            </w:r>
            <w:r w:rsidR="009F3DB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ağrı</w:t>
            </w:r>
            <w:r w:rsidR="000A1A33" w:rsidRPr="000A1A3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veya grip benzeri semptomlar için gerekirse </w:t>
            </w:r>
            <w:proofErr w:type="spellStart"/>
            <w:r w:rsidR="000A1A33" w:rsidRPr="000A1A3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parasetamol</w:t>
            </w:r>
            <w:proofErr w:type="spellEnd"/>
            <w:r w:rsidR="000A1A33" w:rsidRPr="000A1A3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kullanabilirler</w:t>
            </w:r>
            <w:r w:rsidR="000A1A3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2BE51DC8" w14:textId="77777777" w:rsidR="00796C59" w:rsidRPr="000A1A33" w:rsidRDefault="00796C59" w:rsidP="003E660E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53D2A5" w14:textId="7F1EAE4D" w:rsidR="001B5D31" w:rsidRDefault="00F46FD9" w:rsidP="003E660E">
            <w:pPr>
              <w:spacing w:before="8" w:after="8" w:line="233" w:lineRule="auto"/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Klinisyenler</w:t>
            </w:r>
            <w:proofErr w:type="spellEnd"/>
            <w:r w:rsidR="003C4C7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3C4C7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lityum</w:t>
            </w:r>
            <w:proofErr w:type="spellEnd"/>
            <w:r w:rsidR="003C4C7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3C4C7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tedavisine</w:t>
            </w:r>
            <w:proofErr w:type="spellEnd"/>
            <w:r w:rsidR="003C4C7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3C4C7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başla</w:t>
            </w:r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ma</w:t>
            </w:r>
            <w:proofErr w:type="spellEnd"/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ve</w:t>
            </w:r>
            <w:proofErr w:type="spellEnd"/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sürdürme</w:t>
            </w:r>
            <w:proofErr w:type="spellEnd"/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konusunda</w:t>
            </w:r>
            <w:proofErr w:type="spellEnd"/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ulusal</w:t>
            </w:r>
            <w:proofErr w:type="spellEnd"/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ve</w:t>
            </w:r>
            <w:proofErr w:type="spellEnd"/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3C4C7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yerel</w:t>
            </w:r>
            <w:proofErr w:type="spellEnd"/>
            <w:r w:rsidR="003C4C7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3C4C7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prosedürleri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takip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etmelidir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(</w:t>
            </w:r>
            <w:proofErr w:type="spellStart"/>
            <w:r w:rsidR="00490EB6">
              <w:fldChar w:fldCharType="begin"/>
            </w:r>
            <w:r w:rsidR="00490EB6">
              <w:instrText xml:space="preserve"> HYPERLINK "https://www.nice.org.uk/guidance/cg185" </w:instrText>
            </w:r>
            <w:r w:rsidR="00490EB6">
              <w:fldChar w:fldCharType="separate"/>
            </w:r>
            <w:r w:rsidR="00070230" w:rsidRPr="001B5D31">
              <w:rPr>
                <w:rStyle w:val="Hyperlink"/>
                <w:rFonts w:ascii="Calibri Light" w:hAnsi="Calibri Light" w:cs="Calibri Light"/>
                <w:sz w:val="20"/>
                <w:szCs w:val="20"/>
                <w:shd w:val="clear" w:color="auto" w:fill="E0F2FF"/>
              </w:rPr>
              <w:t>Dipnot</w:t>
            </w:r>
            <w:proofErr w:type="spellEnd"/>
            <w:r w:rsidR="00070230" w:rsidRPr="001B5D31">
              <w:rPr>
                <w:rStyle w:val="Hyperlink"/>
                <w:rFonts w:ascii="Calibri Light" w:hAnsi="Calibri Light" w:cs="Calibri Light"/>
                <w:sz w:val="20"/>
                <w:szCs w:val="20"/>
                <w:shd w:val="clear" w:color="auto" w:fill="E0F2FF"/>
              </w:rPr>
              <w:t xml:space="preserve"> 1</w:t>
            </w:r>
            <w:r w:rsidR="00490EB6">
              <w:rPr>
                <w:rStyle w:val="Hyperlink"/>
                <w:rFonts w:ascii="Calibri Light" w:hAnsi="Calibri Light" w:cs="Calibri Light"/>
                <w:sz w:val="20"/>
                <w:szCs w:val="20"/>
                <w:shd w:val="clear" w:color="auto" w:fill="E0F2FF"/>
              </w:rPr>
              <w:fldChar w:fldCharType="end"/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bu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konudaki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kılavuzu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içermektedir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). </w:t>
            </w:r>
          </w:p>
          <w:p w14:paraId="0135B0FF" w14:textId="406CE32C" w:rsidR="00491A65" w:rsidRDefault="00F46FD9" w:rsidP="003E660E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R</w:t>
            </w:r>
            <w:r w:rsidR="00070230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isk </w:t>
            </w:r>
            <w:proofErr w:type="spellStart"/>
            <w:r w:rsidR="00070230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altındaki</w:t>
            </w:r>
            <w:proofErr w:type="spellEnd"/>
            <w:r w:rsidR="00070230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70230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gruplar</w:t>
            </w:r>
            <w:proofErr w:type="spellEnd"/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için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öneriler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aşağıdadır</w:t>
            </w:r>
            <w:proofErr w:type="spellEnd"/>
            <w:r w:rsidR="00491A65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.</w:t>
            </w:r>
          </w:p>
          <w:p w14:paraId="103341D8" w14:textId="77777777" w:rsidR="00796C59" w:rsidRPr="000A1A33" w:rsidRDefault="00796C59" w:rsidP="003E660E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A5FE80" w14:textId="2BADBE57" w:rsidR="00491A65" w:rsidRDefault="00491A65" w:rsidP="003E660E">
            <w:pPr>
              <w:spacing w:before="8" w:after="8" w:line="233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Mümkün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oldu</w:t>
            </w:r>
            <w:r w:rsidR="001773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ğunca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önerilen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aralıklarla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rutin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052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seviyesi</w:t>
            </w:r>
            <w:proofErr w:type="spellEnd"/>
            <w:r w:rsidR="000052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052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takibine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devam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</w:t>
            </w:r>
            <w:r w:rsidR="000052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dil</w:t>
            </w:r>
            <w:r w:rsidR="00E868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melidir</w:t>
            </w:r>
            <w:proofErr w:type="spellEnd"/>
            <w:r w:rsidR="00E868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E86802" w:rsidRPr="00177359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177359">
              <w:rPr>
                <w:rFonts w:asciiTheme="majorHAnsi" w:hAnsiTheme="majorHAnsi" w:cstheme="majorHAnsi"/>
                <w:bCs/>
                <w:sz w:val="20"/>
                <w:szCs w:val="20"/>
              </w:rPr>
              <w:t>ncak</w:t>
            </w:r>
            <w:proofErr w:type="spellEnd"/>
            <w:r w:rsidR="00E86802" w:rsidRPr="00177359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düşük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riskli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yıldan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052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uzun</w:t>
            </w:r>
            <w:proofErr w:type="spellEnd"/>
            <w:r w:rsidR="000052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052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süredir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46FD9" w:rsidRPr="00F46F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tedavisi</w:t>
            </w:r>
            <w:proofErr w:type="spellEnd"/>
            <w:r w:rsidR="00F46FD9" w:rsidRPr="00F46F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46FD9" w:rsidRPr="00F46F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altında</w:t>
            </w:r>
            <w:proofErr w:type="spellEnd"/>
            <w:r w:rsidR="0000528E" w:rsidRPr="00F46F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6F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stabil</w:t>
            </w:r>
            <w:proofErr w:type="spellEnd"/>
            <w:r w:rsidRPr="00F46F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35CFC" w:rsidRPr="00F46F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seyreden</w:t>
            </w:r>
            <w:proofErr w:type="spellEnd"/>
            <w:r w:rsidR="00835CF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868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kom</w:t>
            </w:r>
            <w:r w:rsidR="001773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orbid</w:t>
            </w:r>
            <w:proofErr w:type="spellEnd"/>
            <w:r w:rsidR="001773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medical </w:t>
            </w:r>
            <w:proofErr w:type="spellStart"/>
            <w:r w:rsidR="001773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hastalığı</w:t>
            </w:r>
            <w:proofErr w:type="spellEnd"/>
            <w:r w:rsidR="001773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773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olmayan</w:t>
            </w:r>
            <w:proofErr w:type="spellEnd"/>
            <w:r w:rsidR="00E868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r w:rsidR="00835CF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zlem</w:t>
            </w:r>
            <w:proofErr w:type="spellEnd"/>
            <w:r w:rsidR="00835CF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35CF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aralıklarını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5CF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uzatmak</w:t>
            </w:r>
            <w:proofErr w:type="spellEnd"/>
            <w:r w:rsidR="00835CF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46F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ümkün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olabilir</w:t>
            </w:r>
            <w:proofErr w:type="spellEnd"/>
            <w:r w:rsidRPr="00491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307F1334" w14:textId="77777777" w:rsidR="00CD08B2" w:rsidRDefault="00CD08B2" w:rsidP="003E660E">
            <w:pPr>
              <w:spacing w:before="8" w:after="8" w:line="233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3D46FFE" w14:textId="14B34C43" w:rsidR="00CD08B2" w:rsidRPr="00CD08B2" w:rsidRDefault="00CD08B2" w:rsidP="003E660E">
            <w:pPr>
              <w:spacing w:before="8" w:after="8" w:line="233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Hastalar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fiziksel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sağlıklarını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korumalı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yeterli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sıvı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alımına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devam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etmelidir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.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Ayrıca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mümkün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olan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en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kısa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zamanda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güvenli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koşullar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sağlandığında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normal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aralıklarla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monitorizasyona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devam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>edilmelidir</w:t>
            </w:r>
            <w:proofErr w:type="spellEnd"/>
            <w:r w:rsidRPr="00CD08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. </w:t>
            </w:r>
          </w:p>
          <w:p w14:paraId="51A88ED7" w14:textId="260618DF" w:rsidR="00796C59" w:rsidRDefault="00796C59" w:rsidP="003E660E">
            <w:pPr>
              <w:spacing w:before="8" w:after="8" w:line="233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FB018A8" w14:textId="1C53428D" w:rsidR="00796C59" w:rsidRPr="000A1A33" w:rsidRDefault="003C4C7D" w:rsidP="003E660E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Hastaların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rutin</w:t>
            </w:r>
            <w:proofErr w:type="spellEnd"/>
            <w:r w:rsid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izlem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lerinin</w:t>
            </w:r>
            <w:proofErr w:type="spellEnd"/>
            <w:r w:rsid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birinci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basamakta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yapılmasının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öncelenmesine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0528E" w:rsidRPr="0017735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ilişkin</w:t>
            </w:r>
            <w:proofErr w:type="spellEnd"/>
            <w:r w:rsidR="0000528E" w:rsidRPr="0017735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0528E" w:rsidRPr="0017735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tavsiyeler</w:t>
            </w:r>
            <w:proofErr w:type="spellEnd"/>
            <w:r w:rsidR="0000528E" w:rsidRPr="0017735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hyperlink r:id="rId22" w:history="1">
              <w:proofErr w:type="spellStart"/>
              <w:r w:rsidR="0000528E" w:rsidRPr="00177359">
                <w:rPr>
                  <w:rStyle w:val="Hyperlink"/>
                  <w:rFonts w:ascii="Calibri Light" w:hAnsi="Calibri Light" w:cs="Calibri Light"/>
                  <w:sz w:val="20"/>
                  <w:szCs w:val="20"/>
                  <w:shd w:val="clear" w:color="auto" w:fill="E0F2FF"/>
                </w:rPr>
                <w:t>burada</w:t>
              </w:r>
              <w:proofErr w:type="spellEnd"/>
            </w:hyperlink>
            <w:r w:rsidR="0000528E" w:rsidRPr="0017735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0528E" w:rsidRPr="0017735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yer</w:t>
            </w:r>
            <w:proofErr w:type="spellEnd"/>
            <w:r w:rsidR="0000528E" w:rsidRPr="0017735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0528E" w:rsidRPr="0017735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almaktadır</w:t>
            </w:r>
            <w:proofErr w:type="spellEnd"/>
            <w:r w:rsidR="0000528E" w:rsidRPr="0017735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.</w:t>
            </w:r>
          </w:p>
          <w:p w14:paraId="11AEABD7" w14:textId="77777777" w:rsidR="00796C59" w:rsidRPr="000A1A33" w:rsidRDefault="00796C59" w:rsidP="003E660E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E3ADF8" w14:textId="5FD7DF21" w:rsidR="0000528E" w:rsidRDefault="0000528E" w:rsidP="003E660E">
            <w:pPr>
              <w:spacing w:before="8" w:after="8" w:line="233" w:lineRule="auto"/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</w:pPr>
            <w:proofErr w:type="spellStart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Klinik</w:t>
            </w:r>
            <w:proofErr w:type="spellEnd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karar</w:t>
            </w:r>
            <w:proofErr w:type="spellEnd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verme</w:t>
            </w:r>
            <w:proofErr w:type="spellEnd"/>
            <w:r w:rsidR="008E38D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8E38D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süreçlerinde</w:t>
            </w:r>
            <w:proofErr w:type="spellEnd"/>
            <w:r w:rsidR="000B4A6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,</w:t>
            </w:r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B4A6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hastaların</w:t>
            </w:r>
            <w:proofErr w:type="spellEnd"/>
            <w:r w:rsidR="000B4A6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ruh</w:t>
            </w:r>
            <w:proofErr w:type="spellEnd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sağlığı</w:t>
            </w:r>
            <w:proofErr w:type="spellEnd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, </w:t>
            </w:r>
            <w:proofErr w:type="spellStart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fiziks</w:t>
            </w:r>
            <w:r w:rsidR="008E38D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el</w:t>
            </w:r>
            <w:proofErr w:type="spellEnd"/>
            <w:r w:rsidR="008E38D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8E38D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ve</w:t>
            </w:r>
            <w:proofErr w:type="spellEnd"/>
            <w:r w:rsidR="008E38D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8E38D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sosyal</w:t>
            </w:r>
            <w:proofErr w:type="spellEnd"/>
            <w:r w:rsidR="008E38D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8E38D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bakım</w:t>
            </w:r>
            <w:proofErr w:type="spellEnd"/>
            <w:r w:rsidR="008E38D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8E38D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i</w:t>
            </w:r>
            <w:r w:rsidR="000B4A6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htiyaçlarının</w:t>
            </w:r>
            <w:proofErr w:type="spellEnd"/>
            <w:r w:rsidR="000B4A6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B4A6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dengelenmesi</w:t>
            </w:r>
            <w:proofErr w:type="spellEnd"/>
            <w:r w:rsidR="000B4A6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B4A6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konusunda</w:t>
            </w:r>
            <w:proofErr w:type="spellEnd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faydalı</w:t>
            </w:r>
            <w:proofErr w:type="spellEnd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bir</w:t>
            </w:r>
            <w:proofErr w:type="spellEnd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algoritma</w:t>
            </w:r>
            <w:proofErr w:type="spellEnd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hyperlink r:id="rId23" w:history="1">
              <w:proofErr w:type="spellStart"/>
              <w:r w:rsidRPr="0000528E">
                <w:rPr>
                  <w:rStyle w:val="Hyperlink"/>
                  <w:rFonts w:ascii="Calibri Light" w:hAnsi="Calibri Light" w:cs="Calibri Light"/>
                  <w:sz w:val="20"/>
                  <w:szCs w:val="20"/>
                  <w:shd w:val="clear" w:color="auto" w:fill="E0F2FF"/>
                </w:rPr>
                <w:t>bura</w:t>
              </w:r>
              <w:r w:rsidRPr="0000528E">
                <w:rPr>
                  <w:rStyle w:val="Hyperlink"/>
                  <w:rFonts w:ascii="Calibri Light" w:hAnsi="Calibri Light" w:cs="Calibri Light"/>
                  <w:sz w:val="20"/>
                  <w:szCs w:val="20"/>
                  <w:shd w:val="clear" w:color="auto" w:fill="E0F2FF"/>
                </w:rPr>
                <w:t>d</w:t>
              </w:r>
              <w:r w:rsidRPr="0000528E">
                <w:rPr>
                  <w:rStyle w:val="Hyperlink"/>
                  <w:rFonts w:ascii="Calibri Light" w:hAnsi="Calibri Light" w:cs="Calibri Light"/>
                  <w:sz w:val="20"/>
                  <w:szCs w:val="20"/>
                  <w:shd w:val="clear" w:color="auto" w:fill="E0F2FF"/>
                </w:rPr>
                <w:t>a</w:t>
              </w:r>
              <w:proofErr w:type="spellEnd"/>
            </w:hyperlink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Pr="0000528E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mevcuttur</w:t>
            </w:r>
            <w:proofErr w:type="spellEnd"/>
            <w:r w:rsidR="000B4A63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.</w:t>
            </w:r>
          </w:p>
          <w:p w14:paraId="76F22ECE" w14:textId="7B4EFF2D" w:rsidR="00796C59" w:rsidRPr="000A1A33" w:rsidRDefault="00796C59" w:rsidP="0000528E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96C59" w:rsidRPr="00796C59" w14:paraId="77F8C3BC" w14:textId="77777777" w:rsidTr="00D54077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0BC0E6EA" w14:textId="32B54095" w:rsidR="0000528E" w:rsidRDefault="0000528E" w:rsidP="00B04713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Lityum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düzeyinin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daha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</w:t>
            </w:r>
            <w:r w:rsidR="008E38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ık</w:t>
            </w:r>
            <w:proofErr w:type="spellEnd"/>
            <w:r w:rsidR="008E38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E38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izlenmesine</w:t>
            </w:r>
            <w:proofErr w:type="spellEnd"/>
            <w:r w:rsidR="008E38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E38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ihtiyaç</w:t>
            </w:r>
            <w:proofErr w:type="spellEnd"/>
            <w:r w:rsidR="008E38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E38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duyan</w:t>
            </w:r>
            <w:proofErr w:type="spellEnd"/>
            <w:r w:rsidR="008E38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E38D3" w:rsidRPr="008E38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riskli</w:t>
            </w:r>
            <w:proofErr w:type="spellEnd"/>
            <w:r w:rsidR="008E38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gruplar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kimlerdir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?</w:t>
            </w:r>
          </w:p>
          <w:p w14:paraId="291D7290" w14:textId="2CCC00C2" w:rsidR="00DC460D" w:rsidRDefault="00DC460D" w:rsidP="00DC460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796C59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4" w:history="1">
              <w:r w:rsidRPr="00796C5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796C59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0ACA3F3F" w14:textId="6565023D" w:rsidR="004D380F" w:rsidRDefault="004D380F" w:rsidP="00B0471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5" w:history="1">
              <w:r w:rsidRPr="004D380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link4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1D5AD833" w14:textId="77777777" w:rsidR="00DC460D" w:rsidRDefault="00DC460D" w:rsidP="00B0471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DC460D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6" w:history="1">
              <w:r w:rsidRPr="00DC460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link5</w:t>
              </w:r>
            </w:hyperlink>
            <w:r w:rsidRPr="00DC460D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3CF9989F" w14:textId="2C9FC568" w:rsidR="008B58D7" w:rsidRPr="00DC460D" w:rsidRDefault="008B58D7" w:rsidP="00B0471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7" w:history="1">
              <w:r w:rsidRPr="008B58D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link13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043687D8" w14:textId="2EF657FE" w:rsidR="0000528E" w:rsidRDefault="0000528E" w:rsidP="003E660E">
            <w:pPr>
              <w:spacing w:before="8" w:after="8" w:line="233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4FD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aylık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izlemin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önerildiği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yüksek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riskli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hastalar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:</w:t>
            </w:r>
          </w:p>
          <w:p w14:paraId="00F0BE46" w14:textId="6F408EF5" w:rsidR="00DC460D" w:rsidRPr="00DC460D" w:rsidRDefault="00DC460D" w:rsidP="003E660E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D59D1E" w14:textId="688161FE" w:rsidR="000B4A63" w:rsidRDefault="000B4A63" w:rsidP="000B4A63">
            <w:pPr>
              <w:numPr>
                <w:ilvl w:val="1"/>
                <w:numId w:val="8"/>
              </w:numPr>
              <w:spacing w:before="8" w:after="8" w:line="228" w:lineRule="auto"/>
              <w:ind w:left="426" w:hanging="284"/>
              <w:rPr>
                <w:rFonts w:asciiTheme="majorHAnsi" w:hAnsiTheme="majorHAnsi" w:cstheme="majorHAnsi"/>
                <w:sz w:val="19"/>
                <w:szCs w:val="19"/>
              </w:rPr>
            </w:pP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Yaşlılar</w:t>
            </w:r>
            <w:proofErr w:type="spellEnd"/>
            <w:r w:rsidR="002B2756">
              <w:rPr>
                <w:rFonts w:asciiTheme="majorHAnsi" w:hAnsiTheme="majorHAnsi" w:cstheme="majorHAnsi"/>
                <w:sz w:val="19"/>
                <w:szCs w:val="19"/>
              </w:rPr>
              <w:t xml:space="preserve"> (&gt;65 </w:t>
            </w:r>
            <w:proofErr w:type="spellStart"/>
            <w:r w:rsidR="002B2756">
              <w:rPr>
                <w:rFonts w:asciiTheme="majorHAnsi" w:hAnsiTheme="majorHAnsi" w:cstheme="majorHAnsi"/>
                <w:sz w:val="19"/>
                <w:szCs w:val="19"/>
              </w:rPr>
              <w:t>yaş</w:t>
            </w:r>
            <w:proofErr w:type="spellEnd"/>
            <w:r w:rsidR="002B2756">
              <w:rPr>
                <w:rFonts w:asciiTheme="majorHAnsi" w:hAnsiTheme="majorHAnsi" w:cstheme="majorHAnsi"/>
                <w:sz w:val="19"/>
                <w:szCs w:val="19"/>
              </w:rPr>
              <w:t>)</w:t>
            </w:r>
          </w:p>
          <w:p w14:paraId="469932A7" w14:textId="08A9E97C" w:rsidR="002B2756" w:rsidRPr="004D380F" w:rsidRDefault="002B2756" w:rsidP="000B4A63">
            <w:pPr>
              <w:numPr>
                <w:ilvl w:val="1"/>
                <w:numId w:val="8"/>
              </w:numPr>
              <w:spacing w:before="8" w:after="8" w:line="228" w:lineRule="auto"/>
              <w:ind w:left="426" w:hanging="284"/>
              <w:rPr>
                <w:rFonts w:asciiTheme="majorHAnsi" w:hAnsiTheme="majorHAnsi" w:cstheme="majorHAnsi"/>
                <w:sz w:val="19"/>
                <w:szCs w:val="19"/>
              </w:rPr>
            </w:pPr>
            <w:r w:rsidRPr="002B2756">
              <w:rPr>
                <w:rFonts w:asciiTheme="majorHAnsi" w:hAnsiTheme="majorHAnsi" w:cstheme="majorHAnsi"/>
                <w:sz w:val="19"/>
                <w:szCs w:val="19"/>
              </w:rPr>
              <w:t xml:space="preserve">12 </w:t>
            </w:r>
            <w:proofErr w:type="spellStart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>aydan</w:t>
            </w:r>
            <w:proofErr w:type="spellEnd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>daha</w:t>
            </w:r>
            <w:proofErr w:type="spellEnd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kısa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süre</w:t>
            </w:r>
            <w:proofErr w:type="spellEnd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>tedavi</w:t>
            </w:r>
            <w:proofErr w:type="spellEnd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>gören</w:t>
            </w:r>
            <w:proofErr w:type="spellEnd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>hastalar</w:t>
            </w:r>
            <w:proofErr w:type="spellEnd"/>
          </w:p>
          <w:p w14:paraId="1CF93C5A" w14:textId="6B166187" w:rsidR="000B4A63" w:rsidRPr="004D380F" w:rsidRDefault="000B4A63" w:rsidP="000B4A63">
            <w:pPr>
              <w:numPr>
                <w:ilvl w:val="1"/>
                <w:numId w:val="8"/>
              </w:numPr>
              <w:spacing w:before="8" w:after="8" w:line="228" w:lineRule="auto"/>
              <w:ind w:left="426" w:hanging="284"/>
              <w:rPr>
                <w:rFonts w:asciiTheme="majorHAnsi" w:hAnsiTheme="majorHAnsi" w:cstheme="majorHAnsi"/>
                <w:sz w:val="19"/>
                <w:szCs w:val="19"/>
              </w:rPr>
            </w:pP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Lityumla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etkileşen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ilaçların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NSAİİ, ACE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inhibitörleri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Anjitensin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reseptör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blokörleri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diüretikler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)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başlandığı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kesildiği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hastalar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</w:p>
          <w:p w14:paraId="0C18AFBD" w14:textId="77777777" w:rsidR="002B2756" w:rsidRDefault="002B2756" w:rsidP="000B4A63">
            <w:pPr>
              <w:numPr>
                <w:ilvl w:val="1"/>
                <w:numId w:val="8"/>
              </w:numPr>
              <w:spacing w:before="8" w:after="8" w:line="228" w:lineRule="auto"/>
              <w:ind w:left="426" w:hanging="284"/>
              <w:rPr>
                <w:rFonts w:asciiTheme="majorHAnsi" w:hAnsiTheme="majorHAnsi" w:cstheme="majorHAnsi"/>
                <w:sz w:val="19"/>
                <w:szCs w:val="19"/>
              </w:rPr>
            </w:pPr>
            <w:proofErr w:type="spellStart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>böbrek</w:t>
            </w:r>
            <w:proofErr w:type="spellEnd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>yetmezliği</w:t>
            </w:r>
            <w:proofErr w:type="spellEnd"/>
            <w:r w:rsidRPr="002B2756">
              <w:rPr>
                <w:rFonts w:asciiTheme="majorHAnsi" w:hAnsiTheme="majorHAnsi" w:cstheme="majorHAnsi"/>
                <w:sz w:val="19"/>
                <w:szCs w:val="19"/>
              </w:rPr>
              <w:t xml:space="preserve"> (eGFR &lt;60ml / dak)</w:t>
            </w:r>
          </w:p>
          <w:p w14:paraId="5C8D6BD3" w14:textId="2EBC626D" w:rsidR="000B4A63" w:rsidRPr="004D380F" w:rsidRDefault="000B4A63" w:rsidP="000B4A63">
            <w:pPr>
              <w:numPr>
                <w:ilvl w:val="1"/>
                <w:numId w:val="8"/>
              </w:numPr>
              <w:spacing w:before="8" w:after="8" w:line="228" w:lineRule="auto"/>
              <w:ind w:left="426" w:hanging="284"/>
              <w:rPr>
                <w:rFonts w:asciiTheme="majorHAnsi" w:hAnsiTheme="majorHAnsi" w:cstheme="majorHAnsi"/>
                <w:sz w:val="19"/>
                <w:szCs w:val="19"/>
              </w:rPr>
            </w:pP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Bozulmuş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tiroid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fonksiyonuna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dair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kanıt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olan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hastalar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</w:p>
          <w:p w14:paraId="386E771D" w14:textId="7F10C179" w:rsidR="000B4A63" w:rsidRPr="004D380F" w:rsidRDefault="00177359" w:rsidP="000B4A63">
            <w:pPr>
              <w:numPr>
                <w:ilvl w:val="1"/>
                <w:numId w:val="8"/>
              </w:numPr>
              <w:spacing w:before="8" w:after="8" w:line="228" w:lineRule="auto"/>
              <w:ind w:left="426" w:hanging="284"/>
              <w:rPr>
                <w:rFonts w:asciiTheme="majorHAnsi" w:hAnsiTheme="majorHAnsi" w:cstheme="majorHAnsi"/>
                <w:sz w:val="19"/>
                <w:szCs w:val="19"/>
              </w:rPr>
            </w:pP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K</w:t>
            </w:r>
            <w:r w:rsidR="000B4A63">
              <w:rPr>
                <w:rFonts w:asciiTheme="majorHAnsi" w:hAnsiTheme="majorHAnsi" w:cstheme="majorHAnsi"/>
                <w:sz w:val="19"/>
                <w:szCs w:val="19"/>
              </w:rPr>
              <w:t>alsiyum</w:t>
            </w:r>
            <w:proofErr w:type="spellEnd"/>
            <w:r w:rsidR="000B4A63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 w:rsidR="000B4A63">
              <w:rPr>
                <w:rFonts w:asciiTheme="majorHAnsi" w:hAnsiTheme="majorHAnsi" w:cstheme="majorHAnsi"/>
                <w:sz w:val="19"/>
                <w:szCs w:val="19"/>
              </w:rPr>
              <w:t>seviyesi</w:t>
            </w:r>
            <w:proofErr w:type="spellEnd"/>
            <w:r w:rsidR="000B4A63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yüksek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 w:rsidR="000B4A63">
              <w:rPr>
                <w:rFonts w:asciiTheme="majorHAnsi" w:hAnsiTheme="majorHAnsi" w:cstheme="majorHAnsi"/>
                <w:sz w:val="19"/>
                <w:szCs w:val="19"/>
              </w:rPr>
              <w:t>olan</w:t>
            </w:r>
            <w:proofErr w:type="spellEnd"/>
            <w:r w:rsidR="000B4A63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 w:rsidR="000B4A63">
              <w:rPr>
                <w:rFonts w:asciiTheme="majorHAnsi" w:hAnsiTheme="majorHAnsi" w:cstheme="majorHAnsi"/>
                <w:sz w:val="19"/>
                <w:szCs w:val="19"/>
              </w:rPr>
              <w:t>hastalar</w:t>
            </w:r>
            <w:proofErr w:type="spellEnd"/>
          </w:p>
          <w:p w14:paraId="00DC57E0" w14:textId="1344137E" w:rsidR="000B4A63" w:rsidRPr="004D380F" w:rsidRDefault="000B4A63" w:rsidP="000B4A63">
            <w:pPr>
              <w:numPr>
                <w:ilvl w:val="1"/>
                <w:numId w:val="8"/>
              </w:numPr>
              <w:spacing w:before="8" w:after="8" w:line="228" w:lineRule="auto"/>
              <w:ind w:left="426" w:hanging="284"/>
              <w:rPr>
                <w:rFonts w:asciiTheme="majorHAnsi" w:hAnsiTheme="majorHAnsi" w:cstheme="majorHAnsi"/>
                <w:sz w:val="19"/>
                <w:szCs w:val="19"/>
              </w:rPr>
            </w:pP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Semptom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kontrolü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başarısız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olan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hastalar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</w:p>
          <w:p w14:paraId="2023D2AA" w14:textId="38DEEA1E" w:rsidR="000B4A63" w:rsidRPr="004D380F" w:rsidRDefault="000B4A63" w:rsidP="000B4A63">
            <w:pPr>
              <w:numPr>
                <w:ilvl w:val="1"/>
                <w:numId w:val="8"/>
              </w:numPr>
              <w:spacing w:before="8" w:after="8" w:line="228" w:lineRule="auto"/>
              <w:ind w:left="426" w:hanging="284"/>
              <w:rPr>
                <w:rFonts w:asciiTheme="majorHAnsi" w:hAnsiTheme="majorHAnsi" w:cstheme="majorHAnsi"/>
                <w:sz w:val="19"/>
                <w:szCs w:val="19"/>
              </w:rPr>
            </w:pP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İlaç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uyumu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zayıf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olan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hastalar</w:t>
            </w:r>
            <w:proofErr w:type="spellEnd"/>
          </w:p>
          <w:p w14:paraId="195596A2" w14:textId="04715EA9" w:rsidR="000B4A63" w:rsidRPr="004D380F" w:rsidRDefault="000B4A63" w:rsidP="000B4A63">
            <w:pPr>
              <w:numPr>
                <w:ilvl w:val="1"/>
                <w:numId w:val="8"/>
              </w:numPr>
              <w:spacing w:before="8" w:after="8" w:line="228" w:lineRule="auto"/>
              <w:ind w:left="426" w:hanging="284"/>
              <w:rPr>
                <w:rFonts w:asciiTheme="majorHAnsi" w:hAnsiTheme="majorHAnsi" w:cstheme="majorHAnsi"/>
                <w:sz w:val="19"/>
                <w:szCs w:val="19"/>
              </w:rPr>
            </w:pP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Lityum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seviyesi</w:t>
            </w:r>
            <w:proofErr w:type="spellEnd"/>
            <w:r w:rsidRPr="004D380F">
              <w:rPr>
                <w:rFonts w:asciiTheme="majorHAnsi" w:hAnsiTheme="majorHAnsi" w:cstheme="majorHAnsi"/>
                <w:sz w:val="19"/>
                <w:szCs w:val="19"/>
              </w:rPr>
              <w:t xml:space="preserve"> &gt; 0.8mmol/L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olan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</w:rPr>
              <w:t>hastalar</w:t>
            </w:r>
            <w:proofErr w:type="spellEnd"/>
          </w:p>
          <w:p w14:paraId="4E60F08A" w14:textId="454F3E96" w:rsidR="00796C59" w:rsidRPr="00796C59" w:rsidRDefault="00796C59" w:rsidP="003E660E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96C59" w:rsidRPr="00796C59" w14:paraId="7FD23862" w14:textId="77777777" w:rsidTr="00796C59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0F2FF"/>
          </w:tcPr>
          <w:p w14:paraId="50F0F378" w14:textId="62C305EF" w:rsidR="00612C44" w:rsidRDefault="00612C44" w:rsidP="00B04713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Lityum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kulla</w:t>
            </w:r>
            <w:r w:rsidR="00C03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nan</w:t>
            </w:r>
            <w:proofErr w:type="spellEnd"/>
            <w:r w:rsidR="00C03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C03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bir</w:t>
            </w:r>
            <w:proofErr w:type="spellEnd"/>
            <w:r w:rsidR="00C03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hasta COVID-19 </w:t>
            </w:r>
            <w:proofErr w:type="spellStart"/>
            <w:r w:rsidR="00C03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tanısı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veya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enfeksiyon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belirtileri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olmaksızın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kendini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izole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ediyorsa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, ne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yapmalıyım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?</w:t>
            </w:r>
          </w:p>
          <w:p w14:paraId="6E568D96" w14:textId="77777777" w:rsidR="00DC460D" w:rsidRDefault="00DC460D" w:rsidP="00DC460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796C59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8" w:history="1">
              <w:r w:rsidRPr="00796C5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796C59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6AF82629" w14:textId="29446B64" w:rsidR="00DC460D" w:rsidRDefault="004D380F" w:rsidP="00DC460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9" w:history="1">
              <w:r w:rsidRPr="004D380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link4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2F89FE6D" w14:textId="23167FC5" w:rsidR="00DC460D" w:rsidRPr="00796C59" w:rsidRDefault="00DC460D" w:rsidP="00B04713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0F2FF"/>
          </w:tcPr>
          <w:p w14:paraId="1658DDB9" w14:textId="77777777" w:rsidR="00DC7142" w:rsidRPr="00DC7142" w:rsidRDefault="00050FD9" w:rsidP="00DC7142">
            <w:pPr>
              <w:numPr>
                <w:ilvl w:val="0"/>
                <w:numId w:val="10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tedavisine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7300D7A2" w14:textId="35B6DDC8" w:rsidR="00050FD9" w:rsidRPr="00DC7142" w:rsidRDefault="00177359" w:rsidP="00DC7142">
            <w:pPr>
              <w:numPr>
                <w:ilvl w:val="0"/>
                <w:numId w:val="10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Self-</w:t>
            </w:r>
            <w:proofErr w:type="spellStart"/>
            <w:r w:rsidR="00050FD9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izolasyondaki</w:t>
            </w:r>
            <w:proofErr w:type="spellEnd"/>
            <w:r w:rsidR="00050FD9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50FD9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hastalar</w:t>
            </w:r>
            <w:proofErr w:type="spellEnd"/>
            <w:r w:rsidR="00050FD9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, </w:t>
            </w:r>
            <w:proofErr w:type="spellStart"/>
            <w:r w:rsidR="00050FD9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rutin</w:t>
            </w:r>
            <w:proofErr w:type="spellEnd"/>
            <w:r w:rsidR="00050FD9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50FD9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lityum</w:t>
            </w:r>
            <w:proofErr w:type="spellEnd"/>
            <w:r w:rsidR="00050FD9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C03A63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monitorizasyonu</w:t>
            </w:r>
            <w:proofErr w:type="spellEnd"/>
            <w:r w:rsidR="00C03A63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50FD9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için</w:t>
            </w:r>
            <w:proofErr w:type="spellEnd"/>
            <w:r w:rsidR="00050FD9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B4A63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polikliniğe</w:t>
            </w:r>
            <w:proofErr w:type="spellEnd"/>
            <w:r w:rsidR="000B4A63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50FD9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gidemeyebilir</w:t>
            </w:r>
            <w:proofErr w:type="spellEnd"/>
            <w:r w:rsidR="00C03A63" w:rsidRPr="00DC714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. </w:t>
            </w:r>
          </w:p>
          <w:p w14:paraId="25FADFD6" w14:textId="1FC4F1DF" w:rsidR="00050FD9" w:rsidRDefault="00050FD9" w:rsidP="00151281">
            <w:pPr>
              <w:numPr>
                <w:ilvl w:val="0"/>
                <w:numId w:val="10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Randevunun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daha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sonraki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tarihe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ertelenip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ertelenemeyeceğini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değerlendirin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. </w:t>
            </w:r>
            <w:proofErr w:type="spellStart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İzlem</w:t>
            </w:r>
            <w:proofErr w:type="spellEnd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aralıklarının</w:t>
            </w:r>
            <w:proofErr w:type="spellEnd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genişletilmesine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yönelik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kararlar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vaka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bazında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değerlendirilmelidir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.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Başka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risk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faktörleri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olmayan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bir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yıldan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uzun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süredir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stabil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ol</w:t>
            </w:r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an</w:t>
            </w:r>
            <w:proofErr w:type="spellEnd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hastalar</w:t>
            </w:r>
            <w:proofErr w:type="spellEnd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için</w:t>
            </w:r>
            <w:proofErr w:type="spellEnd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izlem</w:t>
            </w:r>
            <w:proofErr w:type="spellEnd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aralıklarının</w:t>
            </w:r>
            <w:proofErr w:type="spellEnd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0B4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genişletilmesi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düşünülebilir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.</w:t>
            </w:r>
          </w:p>
          <w:p w14:paraId="1E33C8C3" w14:textId="3E9F63C9" w:rsidR="00151281" w:rsidRPr="00151281" w:rsidRDefault="00C03A63" w:rsidP="00151281">
            <w:pPr>
              <w:numPr>
                <w:ilvl w:val="0"/>
                <w:numId w:val="10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Bir hasta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yukarıda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tanıml</w:t>
            </w:r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anan</w:t>
            </w:r>
            <w:proofErr w:type="spellEnd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yüksek</w:t>
            </w:r>
            <w:proofErr w:type="spellEnd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risk </w:t>
            </w:r>
            <w:proofErr w:type="spellStart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kategorilerinden</w:t>
            </w:r>
            <w:proofErr w:type="spellEnd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bir</w:t>
            </w:r>
            <w:proofErr w:type="spellEnd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veya</w:t>
            </w:r>
            <w:proofErr w:type="spellEnd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daha</w:t>
            </w:r>
            <w:proofErr w:type="spellEnd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fazlasına</w:t>
            </w:r>
            <w:proofErr w:type="spellEnd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dahilse</w:t>
            </w:r>
            <w:proofErr w:type="spellEnd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, </w:t>
            </w:r>
            <w:proofErr w:type="spellStart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>rutin</w:t>
            </w:r>
            <w:proofErr w:type="spellEnd"/>
            <w:r w:rsidR="0015128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15128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ilaç</w:t>
            </w:r>
            <w:proofErr w:type="spellEnd"/>
            <w:r w:rsidR="0015128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15128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düzeyi</w:t>
            </w:r>
            <w:proofErr w:type="spellEnd"/>
            <w:r w:rsidR="0015128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15128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ölçüm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lerini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sürdürebilmek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15128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için</w:t>
            </w:r>
            <w:proofErr w:type="spellEnd"/>
            <w:r w:rsidR="0015128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her </w:t>
            </w:r>
            <w:proofErr w:type="spellStart"/>
            <w:r w:rsidR="0015128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türlü</w:t>
            </w:r>
            <w:proofErr w:type="spellEnd"/>
            <w:r w:rsidR="0015128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15128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çaba</w:t>
            </w:r>
            <w:proofErr w:type="spellEnd"/>
            <w:r w:rsidR="0015128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 xml:space="preserve"> </w:t>
            </w:r>
            <w:proofErr w:type="spellStart"/>
            <w:r w:rsidR="0015128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gösterilmelidir</w:t>
            </w:r>
            <w:proofErr w:type="spellEnd"/>
            <w:r w:rsidR="006724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0F2FF"/>
              </w:rPr>
              <w:t>.</w:t>
            </w:r>
            <w:r w:rsidR="00151281">
              <w:rPr>
                <w:color w:val="000000"/>
                <w:sz w:val="14"/>
                <w:szCs w:val="14"/>
                <w:shd w:val="clear" w:color="auto" w:fill="E0F2FF"/>
              </w:rPr>
              <w:t>   </w:t>
            </w:r>
          </w:p>
          <w:p w14:paraId="545E240C" w14:textId="7C879D9F" w:rsidR="00151281" w:rsidRPr="00151281" w:rsidRDefault="00151281" w:rsidP="00151281">
            <w:pPr>
              <w:numPr>
                <w:ilvl w:val="0"/>
                <w:numId w:val="10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Y</w:t>
            </w:r>
            <w:r w:rsidRPr="0015128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üksek risk ve uzun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zamandır</w:t>
            </w:r>
            <w:r w:rsidRPr="0015128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rutin izlemin yapıl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</w:t>
            </w:r>
            <w:r w:rsidRPr="0015128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maması </w:t>
            </w:r>
            <w:r w:rsidR="000B4A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nedeniyle lityum tedavisinin</w:t>
            </w:r>
            <w:r w:rsidRPr="0015128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sürdürülmesinin güvenli olmadığı düşünülen nadir durumlarda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:</w:t>
            </w:r>
          </w:p>
          <w:p w14:paraId="3A99D1E0" w14:textId="06A8C138" w:rsidR="00151281" w:rsidRPr="00151281" w:rsidRDefault="00151281" w:rsidP="00151281">
            <w:pPr>
              <w:numPr>
                <w:ilvl w:val="1"/>
                <w:numId w:val="10"/>
              </w:numPr>
              <w:spacing w:before="8" w:after="8" w:line="19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5128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Lityum yerine başlatılabilecek </w:t>
            </w:r>
            <w:r w:rsidR="0017735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alternatif tedavileri değerlendirin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3A155F55" w14:textId="090B2253" w:rsidR="00151281" w:rsidRPr="00151281" w:rsidRDefault="00151281" w:rsidP="00151281">
            <w:pPr>
              <w:numPr>
                <w:ilvl w:val="1"/>
                <w:numId w:val="10"/>
              </w:numPr>
              <w:spacing w:before="8" w:after="8" w:line="19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5128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En az bir ay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lık periyotta</w:t>
            </w:r>
            <w:r w:rsidRPr="0015128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15128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lityumu yavaşça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kesmeye</w:t>
            </w:r>
            <w:r w:rsidRPr="0015128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  <w:r w:rsidRPr="0015128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çalışın</w:t>
            </w:r>
            <w:r w:rsidR="0067248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5BF27729" w14:textId="62876A82" w:rsidR="00796C59" w:rsidRPr="00151281" w:rsidRDefault="00796C59" w:rsidP="00151281">
            <w:pPr>
              <w:spacing w:before="8" w:after="8" w:line="233" w:lineRule="auto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4713" w:rsidRPr="00796C59" w14:paraId="531ABEF1" w14:textId="77777777" w:rsidTr="00D54077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28AB5AD1" w14:textId="0DBEC924" w:rsidR="009412DB" w:rsidRDefault="009412DB" w:rsidP="00B04713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Lityum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tedavisi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devam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eden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hasta,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enfeksiyon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belirtisi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veya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CO</w:t>
            </w:r>
            <w:r w:rsidR="00C03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VID-19'u </w:t>
            </w:r>
            <w:proofErr w:type="spellStart"/>
            <w:r w:rsidR="00C03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düşündüren</w:t>
            </w:r>
            <w:proofErr w:type="spellEnd"/>
            <w:r w:rsidR="00C03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03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semptomlar</w:t>
            </w:r>
            <w:proofErr w:type="spellEnd"/>
            <w:r w:rsidR="00C03A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tanımlarsa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yapmalıyım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?</w:t>
            </w:r>
          </w:p>
          <w:p w14:paraId="1333D4BB" w14:textId="77777777" w:rsidR="00DC460D" w:rsidRPr="00A228F5" w:rsidRDefault="00DC460D" w:rsidP="00B0471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0" w:history="1">
              <w:r w:rsidRPr="00A228F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</w:t>
              </w:r>
            </w:hyperlink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29488814" w14:textId="5CB0FEFA" w:rsidR="00DC460D" w:rsidRPr="00A228F5" w:rsidRDefault="00DC460D" w:rsidP="00DC460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1" w:history="1">
              <w:r w:rsidRPr="00A228F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1F928558" w14:textId="77777777" w:rsidR="00FB33A9" w:rsidRPr="00A228F5" w:rsidRDefault="00FB33A9" w:rsidP="00FB33A9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2" w:history="1">
              <w:r w:rsidRPr="00A228F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</w:t>
              </w:r>
            </w:hyperlink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1C806B9C" w14:textId="0A26D2AC" w:rsidR="00DC460D" w:rsidRDefault="004D380F" w:rsidP="00B0471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3" w:history="1">
              <w:r w:rsidRPr="00A228F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link4</w:t>
              </w:r>
            </w:hyperlink>
            <w:r w:rsidRPr="00A228F5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46969E9D" w14:textId="77777777" w:rsidR="00FB1A38" w:rsidRPr="00A228F5" w:rsidRDefault="00FB1A38" w:rsidP="00FB1A38">
            <w:pPr>
              <w:spacing w:before="8" w:after="8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r w:rsidRPr="00A228F5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A228F5">
              <w:rPr>
                <w:rFonts w:asciiTheme="majorHAnsi" w:hAnsiTheme="majorHAnsi" w:cstheme="majorHAnsi"/>
                <w:sz w:val="20"/>
                <w:szCs w:val="20"/>
              </w:rPr>
              <w:instrText xml:space="preserve"> HYPERLINK "https://www.sps.nhs.uk/articles/lithium-drug-monitoring-in-primary-care-during-covid-19-for-stable-patients/" </w:instrText>
            </w:r>
            <w:r w:rsidRPr="00A228F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228F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[link10]</w:t>
            </w:r>
          </w:p>
          <w:p w14:paraId="0927D7C0" w14:textId="60257EAE" w:rsidR="00A228F5" w:rsidRPr="00FB1A38" w:rsidRDefault="00FB1A38" w:rsidP="00B04713">
            <w:pPr>
              <w:spacing w:before="8" w:after="8"/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 w:rsidRPr="00A228F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A228F5" w:rsidRPr="00A228F5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A228F5" w:rsidRPr="00A228F5">
              <w:rPr>
                <w:rFonts w:asciiTheme="majorHAnsi" w:hAnsiTheme="majorHAnsi" w:cstheme="majorHAnsi"/>
                <w:sz w:val="20"/>
                <w:szCs w:val="20"/>
              </w:rPr>
              <w:instrText xml:space="preserve"> HYPERLINK "http://www.oxfordhealthformulary.nhs.uk/docs/Lithium monitoring - information for health care professionals - COVID 19 memov2.pdf?UNLID=43283507020206139558" </w:instrText>
            </w:r>
            <w:r w:rsidR="00A228F5" w:rsidRPr="00A228F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A228F5" w:rsidRPr="00A228F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[link11]</w:t>
            </w:r>
          </w:p>
          <w:p w14:paraId="6A12F055" w14:textId="7CAC3C11" w:rsidR="004D380F" w:rsidRPr="00796C59" w:rsidRDefault="00A228F5" w:rsidP="00B04713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228F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60F608FB" w14:textId="3958EF4B" w:rsidR="00492E90" w:rsidRPr="00F14477" w:rsidRDefault="006A5B00" w:rsidP="00F14477">
            <w:pPr>
              <w:spacing w:before="8" w:after="8" w:line="233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Dikkat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edilecek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hususlar</w:t>
            </w:r>
            <w:proofErr w:type="spellEnd"/>
            <w:r w:rsidR="00DC460D" w:rsidRPr="00DC46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2F654421" w14:textId="32333EF6" w:rsidR="00492E90" w:rsidRPr="00492E90" w:rsidRDefault="002E57D4" w:rsidP="006A5B00">
            <w:pPr>
              <w:pStyle w:val="ListParagraph"/>
              <w:numPr>
                <w:ilvl w:val="0"/>
                <w:numId w:val="12"/>
              </w:numPr>
              <w:spacing w:before="8" w:after="8" w:line="19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Hastanın </w:t>
            </w:r>
            <w:r w:rsidR="00492E90" w:rsidRPr="00492E9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tedavi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si ve tedavi </w:t>
            </w:r>
            <w:r w:rsidR="00492E90" w:rsidRPr="00492E9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doz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u</w:t>
            </w:r>
            <w:r w:rsidR="00492E90" w:rsidRPr="00492E9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, lityum plazma düzeylerine göre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ayarlanmalıdır</w:t>
            </w:r>
            <w:r w:rsidR="00492E9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492E90" w:rsidRPr="00492E9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     </w:t>
            </w:r>
          </w:p>
          <w:p w14:paraId="2191A1A7" w14:textId="73603734" w:rsidR="00DC460D" w:rsidRPr="002E57D4" w:rsidRDefault="00492E90" w:rsidP="002E57D4">
            <w:pPr>
              <w:pStyle w:val="ListParagraph"/>
              <w:numPr>
                <w:ilvl w:val="0"/>
                <w:numId w:val="12"/>
              </w:numPr>
              <w:spacing w:before="8" w:after="8" w:line="19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Ateşli</w:t>
            </w:r>
            <w:r w:rsidRPr="00492E9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hastalar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dehidrate</w:t>
            </w:r>
            <w:proofErr w:type="spellEnd"/>
            <w:r w:rsidRPr="00492E9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kalabilir ve lityum seviyeleri yükselebilir</w:t>
            </w:r>
            <w:r w:rsidRPr="00492E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 bu da hastaları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</w:t>
            </w:r>
            <w:r w:rsidRPr="00492E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92E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toksisite</w:t>
            </w:r>
            <w:proofErr w:type="spellEnd"/>
            <w:r w:rsidRPr="00492E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geliştirme riskini artırır. Kaba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tremor</w:t>
            </w:r>
            <w:r w:rsidRPr="00492E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, kas güçsüzlüğü veya seğirmesi, mide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rahatsızlıkları</w:t>
            </w:r>
            <w:r w:rsidRPr="00492E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(ishal, mide ağrısı, kusma</w:t>
            </w:r>
            <w:r w:rsidRPr="002E57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), dengesizlik,</w:t>
            </w:r>
            <w:r w:rsidRPr="00492E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konuşma bozukluğu, bulanık görme,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konfüzyon</w:t>
            </w:r>
            <w:proofErr w:type="spellEnd"/>
            <w:r w:rsidRPr="00492E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gibi </w:t>
            </w:r>
            <w:r w:rsidRPr="00492E9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po</w:t>
            </w:r>
            <w:r w:rsidR="002E57D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tansiyel </w:t>
            </w:r>
            <w:proofErr w:type="spellStart"/>
            <w:r w:rsidR="002E57D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toksisite</w:t>
            </w:r>
            <w:proofErr w:type="spellEnd"/>
            <w:r w:rsidR="002E57D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belirtilerini sorgulayın</w:t>
            </w:r>
            <w:r w:rsidRPr="002E57D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6AF33CE9" w14:textId="77777777" w:rsidR="00DC460D" w:rsidRPr="00DC460D" w:rsidRDefault="00DC460D" w:rsidP="003E660E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74AE29" w14:textId="0523C7E7" w:rsidR="00DC460D" w:rsidRPr="00DC460D" w:rsidRDefault="007975F4" w:rsidP="003E660E">
            <w:pPr>
              <w:spacing w:before="8" w:after="8" w:line="233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Hafif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COVID-19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belirtileri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ortaya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çıkarsa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721251EA" w14:textId="77777777" w:rsidR="007975F4" w:rsidRPr="007975F4" w:rsidRDefault="007975F4" w:rsidP="006A5B00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tedavisine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edin</w:t>
            </w:r>
            <w:proofErr w:type="spellEnd"/>
          </w:p>
          <w:p w14:paraId="62D57EB2" w14:textId="70C9EA3E" w:rsidR="007975F4" w:rsidRPr="007975F4" w:rsidRDefault="007975F4" w:rsidP="006A5B00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Mümkünse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rutin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izleme devam edin</w:t>
            </w:r>
            <w:r w:rsidR="00FB1A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, ancak bazı kılavuzlar bu aşamada lityum kan düzeyine bakılmasını önerir</w:t>
            </w:r>
            <w:r w:rsidR="0017735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- COVID pozitif/</w:t>
            </w:r>
            <w:r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şüpheli hastalar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ın</w:t>
            </w:r>
            <w:r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fiziksel sağlı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 durumlarını</w:t>
            </w:r>
            <w:r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izlemek için </w:t>
            </w:r>
            <w:r w:rsidR="002E57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yerel kılavuzlara</w:t>
            </w:r>
            <w:r w:rsidR="00FF060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başvurun</w:t>
            </w:r>
            <w:r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  <w:r w:rsidRPr="007975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      </w:t>
            </w:r>
          </w:p>
          <w:p w14:paraId="5C3A8550" w14:textId="4BBFFD15" w:rsidR="002B2756" w:rsidRPr="002B2756" w:rsidRDefault="007975F4" w:rsidP="006A5B00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Hastaya 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yeterli sıvı alımını sürdürmesini</w:t>
            </w:r>
            <w:r w:rsidR="00FB1A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, ateşi için </w:t>
            </w:r>
            <w:r w:rsidR="002B275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NSAİ ilaçlar (örn., </w:t>
            </w:r>
            <w:proofErr w:type="spellStart"/>
            <w:r w:rsidR="00FB1A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ibuprofen</w:t>
            </w:r>
            <w:proofErr w:type="spellEnd"/>
            <w:r w:rsidR="002B275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)</w:t>
            </w:r>
            <w:r w:rsidR="00FB1A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kullanmamasını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2B275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onun yerine </w:t>
            </w:r>
            <w:proofErr w:type="spellStart"/>
            <w:r w:rsidR="002B275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parasetamol</w:t>
            </w:r>
            <w:proofErr w:type="spellEnd"/>
            <w:r w:rsidR="002B275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kullanmasını </w:t>
            </w:r>
            <w:r w:rsidR="002B2756" w:rsidRPr="002B275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önerin.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  <w:p w14:paraId="3D8168F4" w14:textId="5249FFCC" w:rsidR="00CD08B2" w:rsidRPr="00CD08B2" w:rsidRDefault="002B2756" w:rsidP="006A5B00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B275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lastRenderedPageBreak/>
              <w:t xml:space="preserve">Hastaya </w:t>
            </w:r>
            <w:r w:rsidR="007975F4"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COVID-19 semptomları</w:t>
            </w:r>
            <w:r w:rsid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kötüleşirse </w:t>
            </w:r>
            <w:r w:rsidR="007975F4"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bildirmesini </w:t>
            </w:r>
            <w:r w:rsidR="007975F4" w:rsidRPr="002B275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tavsiye e</w:t>
            </w:r>
            <w:r w:rsidRPr="002B275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din</w:t>
            </w:r>
            <w:r w:rsidR="007975F4" w:rsidRPr="002B275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0809DB7A" w14:textId="721A44D8" w:rsidR="007975F4" w:rsidRPr="00CD08B2" w:rsidRDefault="00CD08B2" w:rsidP="00CD08B2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08B2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val="tr-TR" w:eastAsia="tr-TR"/>
              </w:rPr>
              <w:t xml:space="preserve">Araya giren </w:t>
            </w:r>
            <w:r w:rsidRPr="00CD08B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herhangi bir hastalığın</w:t>
            </w:r>
            <w:r w:rsidRPr="00CD08B2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val="tr-TR" w:eastAsia="tr-TR"/>
              </w:rPr>
              <w:t>, özellikle ateşle seyreden ve oral alımda azalmaya neden olan hastalıkların</w:t>
            </w:r>
            <w:r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val="tr-TR" w:eastAsia="tr-TR"/>
              </w:rPr>
              <w:t xml:space="preserve">, </w:t>
            </w:r>
            <w:r w:rsidRPr="00CD08B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herhangi bir doz değişikliği yapılmamış olsa bile lityum </w:t>
            </w:r>
            <w:proofErr w:type="spellStart"/>
            <w:r w:rsidRPr="00CD08B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toksisitesine</w:t>
            </w:r>
            <w:proofErr w:type="spellEnd"/>
            <w:r w:rsidRPr="00CD08B2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val="tr-TR" w:eastAsia="tr-TR"/>
              </w:rPr>
              <w:t xml:space="preserve"> yol açabileceğini unutmayın.</w:t>
            </w:r>
            <w:r w:rsidR="007975F4" w:rsidRPr="00CD08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     </w:t>
            </w:r>
          </w:p>
          <w:p w14:paraId="4444AC7F" w14:textId="0925A996" w:rsidR="006A5B00" w:rsidRPr="007975F4" w:rsidRDefault="006A5B00" w:rsidP="006A5B00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Lityum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bağlı olası 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yan etkileri</w:t>
            </w:r>
            <w:r w:rsidR="00FB1A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ve lityum </w:t>
            </w:r>
            <w:proofErr w:type="spellStart"/>
            <w:r w:rsidR="00FB1A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toksisitesi</w:t>
            </w:r>
            <w:proofErr w:type="spellEnd"/>
            <w:r w:rsidR="00FB1A3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belirtilerini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sorgulayın</w:t>
            </w:r>
            <w:r w:rsidR="00CD08B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 hastalara herhangi bir yan etki gelişmesi halinde acilen bildirmelerini söyleyin. </w:t>
            </w:r>
            <w:r w:rsidRPr="007975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      </w:t>
            </w:r>
          </w:p>
          <w:p w14:paraId="36958CDC" w14:textId="4F9E8DD0" w:rsidR="007975F4" w:rsidRPr="006A5B00" w:rsidRDefault="007975F4" w:rsidP="006A5B00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A5B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      </w:t>
            </w:r>
          </w:p>
          <w:p w14:paraId="68791E1E" w14:textId="7D3585D9" w:rsidR="00DC460D" w:rsidRPr="007975F4" w:rsidRDefault="007975F4" w:rsidP="007975F4">
            <w:pPr>
              <w:spacing w:before="8" w:after="8" w:line="19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</w:t>
            </w:r>
          </w:p>
          <w:p w14:paraId="22EF594C" w14:textId="5900A6B1" w:rsidR="007975F4" w:rsidRDefault="00081AA6" w:rsidP="003E660E">
            <w:pPr>
              <w:spacing w:before="8" w:after="8" w:line="233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Orta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veya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Şiddetli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 xml:space="preserve"> COVID-</w:t>
            </w:r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19 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semptomları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ortaya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çıkarsa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veya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enfekte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 xml:space="preserve"> hasta “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yüksek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riskli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”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(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yukarıya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bakın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 xml:space="preserve">)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gruptaysa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14:paraId="61BFA86A" w14:textId="4CB80475" w:rsidR="007975F4" w:rsidRPr="007975F4" w:rsidRDefault="007975F4" w:rsidP="006A5B00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Serum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lityum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düzeyi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böbrek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fonksiyon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testini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acil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şekilde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60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isteyin</w:t>
            </w:r>
            <w:proofErr w:type="spellEnd"/>
            <w:r w:rsidR="002E57D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2E57D4">
              <w:rPr>
                <w:rFonts w:ascii="Calibri Light" w:hAnsi="Calibri Light" w:cs="Calibri Light"/>
                <w:color w:val="000000"/>
                <w:sz w:val="20"/>
                <w:szCs w:val="20"/>
              </w:rPr>
              <w:t>bu</w:t>
            </w:r>
            <w:proofErr w:type="spellEnd"/>
            <w:r w:rsidR="00FF480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480A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tetkikler</w:t>
            </w:r>
            <w:proofErr w:type="spellEnd"/>
            <w:r w:rsidR="002E57D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E57D4">
              <w:rPr>
                <w:rFonts w:ascii="Calibri Light" w:hAnsi="Calibri Light" w:cs="Calibri Light"/>
                <w:color w:val="000000"/>
                <w:sz w:val="20"/>
                <w:szCs w:val="20"/>
              </w:rPr>
              <w:t>yerel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düzenlemelere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bağlı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olarak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birinci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basamak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veya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ikinci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basamak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sağlık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hizmetleri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yoluyla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yapılabilir</w:t>
            </w:r>
            <w:proofErr w:type="spellEnd"/>
          </w:p>
          <w:p w14:paraId="06E5727B" w14:textId="77777777" w:rsidR="002B2756" w:rsidRPr="002B2756" w:rsidRDefault="002B2756" w:rsidP="002B2756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Hastaya 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yeterli sıvı alımını sürdürmesini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, ateşi için NSAİ ilaçlar (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örn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.,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ibuprofen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) kullanmamasını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onun yerine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parasetamol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kullanmasını </w:t>
            </w:r>
            <w:r w:rsidRPr="002B275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önerin.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  <w:p w14:paraId="2B659D3F" w14:textId="77777777" w:rsidR="002B2756" w:rsidRPr="00CD08B2" w:rsidRDefault="002B2756" w:rsidP="002B2756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B275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Hastaya 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COVID-19 semptomları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kötüleşirse 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bildirmesini </w:t>
            </w:r>
            <w:r w:rsidRPr="002B275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tavsiye edin.</w:t>
            </w:r>
          </w:p>
          <w:p w14:paraId="202B8891" w14:textId="79FD8CFE" w:rsidR="007975F4" w:rsidRPr="007975F4" w:rsidRDefault="00FB1A38" w:rsidP="006A5B00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Lityum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bağlı olası 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yan etkileri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ve lityum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toksisitesi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belirtilerini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FF060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sorgulayın</w:t>
            </w:r>
            <w:r w:rsidR="00FF060B"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  <w:r w:rsidR="00FF060B" w:rsidRPr="007975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      </w:t>
            </w:r>
          </w:p>
          <w:p w14:paraId="7757EC7E" w14:textId="67311AC0" w:rsidR="007975F4" w:rsidRPr="00CD08B2" w:rsidRDefault="007975F4" w:rsidP="006A5B00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Lityumun</w:t>
            </w:r>
            <w:proofErr w:type="spellEnd"/>
            <w:r w:rsidR="00FF060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60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aniden</w:t>
            </w:r>
            <w:proofErr w:type="spellEnd"/>
            <w:r w:rsidR="00FF060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60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kesilmesinin</w:t>
            </w:r>
            <w:proofErr w:type="spellEnd"/>
            <w:r w:rsidR="00FF060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60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yüksek</w:t>
            </w:r>
            <w:proofErr w:type="spellEnd"/>
            <w:r w:rsidR="00FF060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60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relaps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riski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ile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ilişkili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olduğu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bilgisi</w:t>
            </w:r>
            <w:r w:rsidR="00FF060B">
              <w:rPr>
                <w:rFonts w:ascii="Calibri Light" w:hAnsi="Calibri Light" w:cs="Calibri Light"/>
                <w:color w:val="000000"/>
                <w:sz w:val="20"/>
                <w:szCs w:val="20"/>
              </w:rPr>
              <w:t>ni</w:t>
            </w:r>
            <w:proofErr w:type="spellEnd"/>
            <w:r w:rsidR="00FF060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60B"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göz</w:t>
            </w:r>
            <w:proofErr w:type="spellEnd"/>
            <w:r w:rsidR="00FF060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60B">
              <w:rPr>
                <w:rFonts w:ascii="Calibri Light" w:hAnsi="Calibri Light" w:cs="Calibri Light"/>
                <w:color w:val="000000"/>
                <w:sz w:val="20"/>
                <w:szCs w:val="20"/>
              </w:rPr>
              <w:t>önünde</w:t>
            </w:r>
            <w:proofErr w:type="spellEnd"/>
            <w:r w:rsidR="00FF060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60B">
              <w:rPr>
                <w:rFonts w:ascii="Calibri Light" w:hAnsi="Calibri Light" w:cs="Calibri Light"/>
                <w:color w:val="000000"/>
                <w:sz w:val="20"/>
                <w:szCs w:val="20"/>
              </w:rPr>
              <w:t>bulundurarak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hasta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bazında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değerlendirme</w:t>
            </w:r>
            <w:r w:rsidR="006A5B00">
              <w:rPr>
                <w:rFonts w:ascii="Calibri Light" w:hAnsi="Calibri Light" w:cs="Calibri Light"/>
                <w:color w:val="000000"/>
                <w:sz w:val="20"/>
                <w:szCs w:val="20"/>
              </w:rPr>
              <w:t>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şartıyla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lityumu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geçici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olarak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kesme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veya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doz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azaltma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kararı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alınabilir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7DBA2618" w14:textId="7A9E8467" w:rsidR="00CD08B2" w:rsidRPr="00CD08B2" w:rsidRDefault="00CD08B2" w:rsidP="00CD08B2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08B2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val="tr-TR" w:eastAsia="tr-TR"/>
              </w:rPr>
              <w:t xml:space="preserve">Araya giren </w:t>
            </w:r>
            <w:r w:rsidRPr="00CD08B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herhangi bir hastalığın</w:t>
            </w:r>
            <w:r w:rsidRPr="00CD08B2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val="tr-TR" w:eastAsia="tr-TR"/>
              </w:rPr>
              <w:t>, özellikle ateşle seyreden ve oral alımda azalmaya neden olan hastalıkların</w:t>
            </w:r>
            <w:r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val="tr-TR" w:eastAsia="tr-TR"/>
              </w:rPr>
              <w:t xml:space="preserve">, </w:t>
            </w:r>
            <w:r w:rsidRPr="00CD08B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herhangi bir doz değişikliği yapılmamış olsa bile lityum </w:t>
            </w:r>
            <w:proofErr w:type="spellStart"/>
            <w:r w:rsidRPr="00CD08B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toksisitesine</w:t>
            </w:r>
            <w:proofErr w:type="spellEnd"/>
            <w:r w:rsidRPr="00CD08B2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val="tr-TR" w:eastAsia="tr-TR"/>
              </w:rPr>
              <w:t xml:space="preserve"> yol açabileceğini unutmayın.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</w:t>
            </w:r>
            <w:r w:rsidRPr="00CD08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5E2EA60" w14:textId="0A7C010B" w:rsidR="007975F4" w:rsidRPr="007975F4" w:rsidRDefault="007975F4" w:rsidP="006A5B00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Kan testi sonuçlarına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göre</w:t>
            </w:r>
            <w:r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klinisyenlerin</w:t>
            </w:r>
            <w:proofErr w:type="spellEnd"/>
            <w:r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doz değiş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imi yapmaları</w:t>
            </w:r>
            <w:r w:rsidR="00081AA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</w:t>
            </w:r>
            <w:r w:rsidR="00CC02C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/</w:t>
            </w:r>
            <w:r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veya sonraki lityum izlem sıklığını arttırmaları gerekebilir. </w:t>
            </w:r>
            <w:r w:rsidRPr="007975F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Lityum seviyeleri yükselirse veya böbrek fonksiyonu tehlikeye girerse, acil uzman tavsiyesi alın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Pr="007975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         </w:t>
            </w:r>
          </w:p>
          <w:p w14:paraId="4D46508C" w14:textId="77777777" w:rsidR="007975F4" w:rsidRPr="007975F4" w:rsidRDefault="007975F4" w:rsidP="007975F4">
            <w:pPr>
              <w:spacing w:before="8" w:after="8" w:line="19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7975F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</w:t>
            </w:r>
          </w:p>
          <w:p w14:paraId="66C64678" w14:textId="74D6F2B5" w:rsidR="00DC460D" w:rsidRPr="00DC460D" w:rsidRDefault="00081AA6" w:rsidP="003E660E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Dehidratasyon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veya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böbrek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yetmezliği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riskinin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yüksek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olduğu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veya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lityum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toksisite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semptomlarını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güvenilir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bir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şekilde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izlemenin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mümkün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olmadığı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3621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ağır</w:t>
            </w:r>
            <w:proofErr w:type="spellEnd"/>
            <w:r w:rsidR="0043621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grip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benzeri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3621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semptomlar</w:t>
            </w:r>
            <w:proofErr w:type="spellEnd"/>
            <w:r w:rsidR="0043621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/</w:t>
            </w:r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COVID-19 </w:t>
            </w:r>
            <w:proofErr w:type="spellStart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semptomları</w:t>
            </w:r>
            <w:proofErr w:type="spellEnd"/>
            <w:r w:rsidR="007975F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="0043621D"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gösteren</w:t>
            </w:r>
            <w:proofErr w:type="spellEnd"/>
            <w:r w:rsidR="007975F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F4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hastalarda</w:t>
            </w:r>
            <w:proofErr w:type="spellEnd"/>
            <w:r w:rsidR="007975F4">
              <w:rPr>
                <w:rFonts w:ascii="Calibri Light" w:hAnsi="Calibri Light" w:cs="Calibri Light"/>
                <w:color w:val="000000"/>
                <w:sz w:val="20"/>
                <w:szCs w:val="20"/>
              </w:rPr>
              <w:t>:</w:t>
            </w:r>
          </w:p>
          <w:p w14:paraId="57499F7C" w14:textId="127622EB" w:rsidR="00DC460D" w:rsidRPr="00FF060B" w:rsidRDefault="00770586" w:rsidP="006A5B00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F060B">
              <w:rPr>
                <w:rFonts w:asciiTheme="majorHAnsi" w:hAnsiTheme="majorHAnsi" w:cstheme="majorHAnsi"/>
                <w:sz w:val="20"/>
                <w:szCs w:val="20"/>
              </w:rPr>
              <w:t>Lityumu</w:t>
            </w:r>
            <w:proofErr w:type="spellEnd"/>
            <w:r w:rsidRPr="00FF06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F060B">
              <w:rPr>
                <w:rFonts w:asciiTheme="majorHAnsi" w:hAnsiTheme="majorHAnsi" w:cstheme="majorHAnsi"/>
                <w:sz w:val="20"/>
                <w:szCs w:val="20"/>
              </w:rPr>
              <w:t>kesin</w:t>
            </w:r>
            <w:proofErr w:type="spellEnd"/>
            <w:r w:rsidRPr="00FF06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4FA2FEC" w14:textId="632C900F" w:rsidR="00CC4410" w:rsidRPr="00DC460D" w:rsidRDefault="00522690" w:rsidP="006A5B00">
            <w:pPr>
              <w:numPr>
                <w:ilvl w:val="0"/>
                <w:numId w:val="12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Acil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lityum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düzeyi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ile </w:t>
            </w:r>
            <w:proofErr w:type="spellStart"/>
            <w:r w:rsidR="003E5E68">
              <w:rPr>
                <w:rFonts w:asciiTheme="majorHAnsi" w:hAnsiTheme="majorHAnsi" w:cstheme="majorHAnsi"/>
                <w:sz w:val="20"/>
                <w:szCs w:val="20"/>
              </w:rPr>
              <w:t>böb</w:t>
            </w:r>
            <w:r w:rsidR="00706A81">
              <w:rPr>
                <w:rFonts w:asciiTheme="majorHAnsi" w:hAnsiTheme="majorHAnsi" w:cstheme="majorHAnsi"/>
                <w:sz w:val="20"/>
                <w:szCs w:val="20"/>
              </w:rPr>
              <w:t>rek</w:t>
            </w:r>
            <w:proofErr w:type="spellEnd"/>
            <w:r w:rsidR="00706A8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06A81">
              <w:rPr>
                <w:rFonts w:asciiTheme="majorHAnsi" w:hAnsiTheme="majorHAnsi" w:cstheme="majorHAnsi"/>
                <w:sz w:val="20"/>
                <w:szCs w:val="20"/>
              </w:rPr>
              <w:t>fonksiyon</w:t>
            </w:r>
            <w:proofErr w:type="spellEnd"/>
            <w:r w:rsidR="00706A8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06A81">
              <w:rPr>
                <w:rFonts w:asciiTheme="majorHAnsi" w:hAnsiTheme="majorHAnsi" w:cstheme="majorHAnsi"/>
                <w:sz w:val="20"/>
                <w:szCs w:val="20"/>
              </w:rPr>
              <w:t>testleri</w:t>
            </w:r>
            <w:proofErr w:type="spellEnd"/>
            <w:r w:rsidR="00706A8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06A81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7705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70586">
              <w:rPr>
                <w:rFonts w:asciiTheme="majorHAnsi" w:hAnsiTheme="majorHAnsi" w:cstheme="majorHAnsi"/>
                <w:sz w:val="20"/>
                <w:szCs w:val="20"/>
              </w:rPr>
              <w:t>elektrolitleri</w:t>
            </w:r>
            <w:proofErr w:type="spellEnd"/>
            <w:r w:rsidR="007705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70586">
              <w:rPr>
                <w:rFonts w:asciiTheme="majorHAnsi" w:hAnsiTheme="majorHAnsi" w:cstheme="majorHAnsi"/>
                <w:sz w:val="20"/>
                <w:szCs w:val="20"/>
              </w:rPr>
              <w:t>isteyin</w:t>
            </w:r>
            <w:proofErr w:type="spellEnd"/>
            <w:r w:rsidR="0077058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DF7C7BC" w14:textId="630B564A" w:rsidR="00B4230B" w:rsidRPr="00796C59" w:rsidRDefault="00B4230B" w:rsidP="003E660E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406A" w:rsidRPr="00796C59" w14:paraId="689FD3D5" w14:textId="77777777" w:rsidTr="00585D0E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7101BCD2" w14:textId="77777777" w:rsidR="0093406A" w:rsidRDefault="0093406A" w:rsidP="0093406A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Hastalar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semptomları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sebebiyle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ibuprofen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alabilir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mi? </w:t>
            </w:r>
          </w:p>
          <w:p w14:paraId="6AB5C1F1" w14:textId="77777777" w:rsidR="0093406A" w:rsidRDefault="0093406A" w:rsidP="0093406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796C59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4" w:history="1">
              <w:r w:rsidRPr="00796C5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</w:t>
              </w:r>
            </w:hyperlink>
            <w:r w:rsidRPr="00796C59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59DE2BEB" w14:textId="35501CAD" w:rsidR="0093406A" w:rsidRDefault="0093406A" w:rsidP="0093406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5" w:history="1">
              <w:r w:rsidRPr="004D380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link4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551C16E2" w14:textId="38C8DF8D" w:rsidR="00967AB4" w:rsidRPr="00967AB4" w:rsidRDefault="00967AB4" w:rsidP="0093406A">
            <w:pPr>
              <w:spacing w:before="8" w:after="8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HYPERLINK "https://www.gov.uk/government/news/commission-on-human-medicines-advice-on-ibuprofen-and-coronavirus-covid-19"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967AB4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[link9]</w:t>
            </w:r>
          </w:p>
          <w:p w14:paraId="3B47A964" w14:textId="59EB49DD" w:rsidR="0093406A" w:rsidRPr="00796C59" w:rsidRDefault="00967AB4" w:rsidP="0093406A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473A450F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Her ne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kadar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ibuprofenin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COVID-19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gidişatını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kötüleştirebileceğine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halen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güçlü</w:t>
            </w:r>
            <w:proofErr w:type="spellEnd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kanıtlar</w:t>
            </w:r>
            <w:proofErr w:type="spellEnd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bulunmasa</w:t>
            </w:r>
            <w:proofErr w:type="spellEnd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hastalara</w:t>
            </w:r>
            <w:proofErr w:type="spellEnd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parasetamol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kullanımlarına</w:t>
            </w:r>
            <w:proofErr w:type="spellEnd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engel</w:t>
            </w:r>
            <w:proofErr w:type="spellEnd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durum </w:t>
            </w:r>
            <w:proofErr w:type="spellStart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olmadıkça</w:t>
            </w:r>
            <w:proofErr w:type="spellEnd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semptomları</w:t>
            </w:r>
            <w:proofErr w:type="spellEnd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sebebiyle</w:t>
            </w:r>
            <w:proofErr w:type="spellEnd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parasetamol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tercih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etmeleri</w:t>
            </w:r>
            <w:proofErr w:type="spellEnd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önerilmelidir</w:t>
            </w:r>
            <w:proofErr w:type="spellEnd"/>
            <w:r w:rsidRPr="00D401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21782139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9F5A35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NSAİİ’ler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lityumun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birlikte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kullanımı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lityum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toksisitesi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riskini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artırabileceğinden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1F7E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</w:t>
            </w:r>
            <w:proofErr w:type="spellEnd"/>
            <w:r w:rsidRPr="001F7E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7E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</w:t>
            </w:r>
            <w:proofErr w:type="spellEnd"/>
            <w:r w:rsidRPr="001F7E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7E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hastaların</w:t>
            </w:r>
            <w:proofErr w:type="spellEnd"/>
            <w:r w:rsidRPr="001F7E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7E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doktor</w:t>
            </w:r>
            <w:proofErr w:type="spellEnd"/>
            <w:r w:rsidRPr="001F7E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7E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tavsiyesi</w:t>
            </w:r>
            <w:proofErr w:type="spellEnd"/>
            <w:r w:rsidRPr="001F7E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7E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olmadıkça</w:t>
            </w:r>
            <w:proofErr w:type="spellEnd"/>
            <w:r w:rsidRPr="001F7E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NSAİİ </w:t>
            </w:r>
            <w:proofErr w:type="spellStart"/>
            <w:r w:rsidRPr="001F7E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kullanmaması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bilhassa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önemlidir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34545635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7BF683" w14:textId="77777777" w:rsidR="0093406A" w:rsidRPr="00796C59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Güncel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kılavuz</w:t>
            </w:r>
            <w:proofErr w:type="spellEnd"/>
            <w:r w:rsidRPr="00CC0D73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başka</w:t>
            </w:r>
            <w:proofErr w:type="spellEnd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medikal</w:t>
            </w:r>
            <w:proofErr w:type="spellEnd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durumlar</w:t>
            </w:r>
            <w:proofErr w:type="spellEnd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sebebiyle</w:t>
            </w:r>
            <w:proofErr w:type="spellEnd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düzenli</w:t>
            </w:r>
            <w:proofErr w:type="spellEnd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NSAİİ </w:t>
            </w:r>
            <w:proofErr w:type="spellStart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kullanımı</w:t>
            </w:r>
            <w:proofErr w:type="spellEnd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olanlarda</w:t>
            </w:r>
            <w:proofErr w:type="spellEnd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tedavinin</w:t>
            </w:r>
            <w:proofErr w:type="spellEnd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0D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kesilmemesi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önermektedir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Lityum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seviyelerinin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ayarlanması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sıkı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takibi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(3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ayda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detaylı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lütfen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yerel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ulusal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kılavuzlarınıza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başvurunuz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NSAİİ’lar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lityumla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birlikte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reçete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edilebilir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 </w:t>
            </w:r>
          </w:p>
          <w:p w14:paraId="08ACCF78" w14:textId="77777777" w:rsidR="0093406A" w:rsidRPr="00796C59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406A" w:rsidRPr="00796C59" w14:paraId="3D3E5729" w14:textId="77777777" w:rsidTr="00585D0E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568E76C8" w14:textId="77777777" w:rsidR="0093406A" w:rsidRDefault="0093406A" w:rsidP="0093406A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seviyeleri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COVID-19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enfeksiyonundan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etkilenebilir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mi? </w:t>
            </w:r>
          </w:p>
          <w:p w14:paraId="326FBFC8" w14:textId="77777777" w:rsidR="0093406A" w:rsidRDefault="0093406A" w:rsidP="0093406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796C59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6" w:history="1">
              <w:r w:rsidRPr="00796C5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796C59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041D2F6E" w14:textId="77777777" w:rsidR="0093406A" w:rsidRDefault="0093406A" w:rsidP="0093406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7" w:history="1">
              <w:r w:rsidRPr="0097092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6EB14548" w14:textId="1F6B349E" w:rsidR="0093406A" w:rsidRDefault="0093406A" w:rsidP="0093406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8" w:history="1">
              <w:r w:rsidRPr="004D380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link4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21BBCF72" w14:textId="77777777" w:rsidR="0093406A" w:rsidRPr="00796C59" w:rsidRDefault="0093406A" w:rsidP="0093406A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3D121EA8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Böbrek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fonksiyonlarına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olası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etkileri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7B2EEF7D" w14:textId="73960119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t xml:space="preserve">  </w:t>
            </w:r>
            <w:hyperlink r:id="rId39" w:history="1">
              <w:proofErr w:type="spellStart"/>
              <w:r w:rsidRPr="00C213B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Wuhan’dan</w:t>
              </w:r>
              <w:proofErr w:type="spellEnd"/>
              <w:r w:rsidRPr="00C213B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C213B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gelen</w:t>
              </w:r>
              <w:proofErr w:type="spellEnd"/>
              <w:r w:rsidRPr="00C213B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son </w:t>
              </w:r>
              <w:proofErr w:type="spellStart"/>
              <w:r w:rsidRPr="00C213B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bilgilerde</w:t>
              </w:r>
              <w:proofErr w:type="spellEnd"/>
            </w:hyperlink>
            <w:r w:rsidRPr="00C213BB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COVID-19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hastalarında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“ilk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başvuru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esnasında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böbrek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hastalığının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bulunması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yatış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esnasında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akut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böbrek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hasarı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gelişmesinin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artmış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ölüm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riskiyle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ilişkili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gösterildi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t xml:space="preserve"> </w:t>
            </w:r>
            <w:r w:rsidRPr="00FD748F">
              <w:rPr>
                <w:rFonts w:asciiTheme="majorHAnsi" w:hAnsiTheme="majorHAnsi" w:cstheme="majorHAnsi"/>
                <w:sz w:val="20"/>
                <w:szCs w:val="20"/>
              </w:rPr>
              <w:t xml:space="preserve">Bu </w:t>
            </w:r>
            <w:proofErr w:type="spellStart"/>
            <w:r w:rsidRPr="00FD748F">
              <w:rPr>
                <w:rFonts w:asciiTheme="majorHAnsi" w:hAnsiTheme="majorHAnsi" w:cstheme="majorHAnsi"/>
                <w:sz w:val="20"/>
                <w:szCs w:val="20"/>
              </w:rPr>
              <w:t>nedenle</w:t>
            </w:r>
            <w:proofErr w:type="spellEnd"/>
            <w:r w:rsidRPr="00FD748F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COVID-19 </w:t>
            </w:r>
            <w:proofErr w:type="spellStart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hastalarını</w:t>
            </w:r>
            <w:proofErr w:type="spellEnd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tedavi</w:t>
            </w:r>
            <w:proofErr w:type="spellEnd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ederken</w:t>
            </w:r>
            <w:proofErr w:type="spellEnd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lityumun</w:t>
            </w:r>
            <w:proofErr w:type="spellEnd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böbrek</w:t>
            </w:r>
            <w:proofErr w:type="spellEnd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fonksiyonu</w:t>
            </w:r>
            <w:proofErr w:type="spellEnd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üzerindeki</w:t>
            </w:r>
            <w:proofErr w:type="spellEnd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olası</w:t>
            </w:r>
            <w:proofErr w:type="spellEnd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etkileri</w:t>
            </w:r>
            <w:proofErr w:type="spellEnd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akılda</w:t>
            </w:r>
            <w:proofErr w:type="spellEnd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tutulmalıdır</w:t>
            </w:r>
            <w:proofErr w:type="spellEnd"/>
            <w:r w:rsidRPr="00FD74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Pr="00DC460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2A69428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8EA536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Olası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ilaç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etkileşimleri</w:t>
            </w:r>
            <w:proofErr w:type="spellEnd"/>
          </w:p>
          <w:p w14:paraId="0A64EAED" w14:textId="77777777" w:rsidR="0093406A" w:rsidRPr="00DC460D" w:rsidRDefault="0093406A" w:rsidP="0093406A">
            <w:pPr>
              <w:numPr>
                <w:ilvl w:val="0"/>
                <w:numId w:val="16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H</w:t>
            </w:r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erha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ngi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kılavuzda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önerilmiş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olmamakla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birlikte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33505B">
              <w:rPr>
                <w:rFonts w:asciiTheme="majorHAnsi" w:hAnsiTheme="majorHAnsi" w:cstheme="majorHAnsi"/>
                <w:sz w:val="20"/>
                <w:szCs w:val="20"/>
              </w:rPr>
              <w:t xml:space="preserve"> COVID-19 </w:t>
            </w:r>
            <w:proofErr w:type="spellStart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enfeksiyonu</w:t>
            </w:r>
            <w:proofErr w:type="spellEnd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sırasında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33505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NSAİİ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’lar</w:t>
            </w:r>
            <w:proofErr w:type="spellEnd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anjiyotensin</w:t>
            </w:r>
            <w:proofErr w:type="spellEnd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dönüştürücü</w:t>
            </w:r>
            <w:proofErr w:type="spellEnd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enzim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üzerinden</w:t>
            </w:r>
            <w:proofErr w:type="spellEnd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etki</w:t>
            </w:r>
            <w:proofErr w:type="spellEnd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eden</w:t>
            </w:r>
            <w:proofErr w:type="spellEnd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ilaçlar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örn</w:t>
            </w:r>
            <w:proofErr w:type="spellEnd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 xml:space="preserve">. ACE </w:t>
            </w:r>
            <w:proofErr w:type="spellStart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inhibitörleri</w:t>
            </w:r>
            <w:proofErr w:type="spellEnd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tedavi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ekibince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gerekli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görüldüğü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C1091">
              <w:rPr>
                <w:rFonts w:asciiTheme="majorHAnsi" w:hAnsiTheme="majorHAnsi" w:cstheme="majorHAnsi"/>
                <w:sz w:val="20"/>
                <w:szCs w:val="20"/>
              </w:rPr>
              <w:t>takdirde</w:t>
            </w:r>
            <w:proofErr w:type="spellEnd"/>
            <w:r w:rsidRPr="0033505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kesi</w:t>
            </w:r>
            <w:r w:rsidRPr="0033505B">
              <w:rPr>
                <w:rFonts w:asciiTheme="majorHAnsi" w:hAnsiTheme="majorHAnsi" w:cstheme="majorHAnsi"/>
                <w:sz w:val="20"/>
                <w:szCs w:val="20"/>
              </w:rPr>
              <w:t>lebilir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Düzenli</w:t>
            </w:r>
            <w:proofErr w:type="spellEnd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kullanılan</w:t>
            </w:r>
            <w:proofErr w:type="spellEnd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NSAİİ’ları</w:t>
            </w:r>
            <w:proofErr w:type="spellEnd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ACE </w:t>
            </w:r>
            <w:proofErr w:type="spellStart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inhibitörlerini</w:t>
            </w:r>
            <w:proofErr w:type="spellEnd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kesmek</w:t>
            </w:r>
            <w:proofErr w:type="spellEnd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</w:t>
            </w:r>
            <w:proofErr w:type="spellEnd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seviyelerinde</w:t>
            </w:r>
            <w:proofErr w:type="spellEnd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düşüşe</w:t>
            </w:r>
            <w:proofErr w:type="spellEnd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neden</w:t>
            </w:r>
            <w:proofErr w:type="spellEnd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olabilir</w:t>
            </w:r>
            <w:proofErr w:type="spellEnd"/>
            <w:r w:rsidRPr="00AE51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</w:p>
          <w:p w14:paraId="5C95458F" w14:textId="77777777" w:rsidR="0093406A" w:rsidRPr="00DC460D" w:rsidRDefault="0093406A" w:rsidP="0093406A">
            <w:pPr>
              <w:numPr>
                <w:ilvl w:val="0"/>
                <w:numId w:val="16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</w:t>
            </w:r>
            <w:proofErr w:type="spellEnd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</w:t>
            </w:r>
            <w:proofErr w:type="spellEnd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COVID-19 </w:t>
            </w:r>
            <w:proofErr w:type="spellStart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tedavisinde</w:t>
            </w:r>
            <w:proofErr w:type="spellEnd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kullanılan</w:t>
            </w:r>
            <w:proofErr w:type="spellEnd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ilaçlar</w:t>
            </w:r>
            <w:proofErr w:type="spellEnd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arasında</w:t>
            </w:r>
            <w:proofErr w:type="spellEnd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58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DB58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dizi </w:t>
            </w:r>
            <w:proofErr w:type="spellStart"/>
            <w:r w:rsidRPr="00DB58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etkileşim</w:t>
            </w:r>
            <w:proofErr w:type="spellEnd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39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olduğu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akılda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tutulmalıdır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B839B5">
              <w:rPr>
                <w:rFonts w:asciiTheme="majorHAnsi" w:hAnsiTheme="majorHAnsi" w:cstheme="majorHAnsi"/>
                <w:sz w:val="20"/>
                <w:szCs w:val="20"/>
              </w:rPr>
              <w:t>İlgili</w:t>
            </w:r>
            <w:proofErr w:type="spellEnd"/>
            <w:r w:rsidRPr="00B83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839B5">
              <w:rPr>
                <w:rFonts w:asciiTheme="majorHAnsi" w:hAnsiTheme="majorHAnsi" w:cstheme="majorHAnsi"/>
                <w:sz w:val="20"/>
                <w:szCs w:val="20"/>
              </w:rPr>
              <w:t>ilaç</w:t>
            </w:r>
            <w:proofErr w:type="spellEnd"/>
            <w:r w:rsidRPr="00B83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839B5">
              <w:rPr>
                <w:rFonts w:asciiTheme="majorHAnsi" w:hAnsiTheme="majorHAnsi" w:cstheme="majorHAnsi"/>
                <w:sz w:val="20"/>
                <w:szCs w:val="20"/>
              </w:rPr>
              <w:t>etkileşimlerini</w:t>
            </w:r>
            <w:proofErr w:type="spellEnd"/>
            <w:r w:rsidRPr="00B83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839B5">
              <w:rPr>
                <w:rFonts w:asciiTheme="majorHAnsi" w:hAnsiTheme="majorHAnsi" w:cstheme="majorHAnsi"/>
                <w:sz w:val="20"/>
                <w:szCs w:val="20"/>
              </w:rPr>
              <w:t>kontrol</w:t>
            </w:r>
            <w:proofErr w:type="spellEnd"/>
            <w:r w:rsidRPr="00B83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839B5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tmek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lütfen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mevcut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839B5">
              <w:rPr>
                <w:rFonts w:asciiTheme="majorHAnsi" w:hAnsiTheme="majorHAnsi" w:cstheme="majorHAnsi"/>
                <w:sz w:val="20"/>
                <w:szCs w:val="20"/>
              </w:rPr>
              <w:t>kaynaklara</w:t>
            </w:r>
            <w:proofErr w:type="spellEnd"/>
            <w:r w:rsidRPr="00B83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839B5">
              <w:rPr>
                <w:rFonts w:asciiTheme="majorHAnsi" w:hAnsiTheme="majorHAnsi" w:cstheme="majorHAnsi"/>
                <w:sz w:val="20"/>
                <w:szCs w:val="20"/>
              </w:rPr>
              <w:t>başvurun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uz</w:t>
            </w:r>
            <w:proofErr w:type="spellEnd"/>
            <w:r w:rsidRPr="00B839B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</w:p>
          <w:p w14:paraId="659A7961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2F76CC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DC460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Deh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idratasyon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sıvı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alımı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diyet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21ED53EB" w14:textId="77777777" w:rsidR="0093406A" w:rsidRPr="00DC460D" w:rsidRDefault="0093406A" w:rsidP="0093406A">
            <w:pPr>
              <w:numPr>
                <w:ilvl w:val="0"/>
                <w:numId w:val="15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Dehidra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</w:t>
            </w:r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syon</w:t>
            </w:r>
            <w:proofErr w:type="spellEnd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azalmış</w:t>
            </w:r>
            <w:proofErr w:type="spellEnd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sıvı</w:t>
            </w:r>
            <w:proofErr w:type="spellEnd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alımı</w:t>
            </w:r>
            <w:proofErr w:type="spellEnd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</w:t>
            </w:r>
            <w:proofErr w:type="spellEnd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toksisitesinin</w:t>
            </w:r>
            <w:proofErr w:type="spellEnd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başka</w:t>
            </w:r>
            <w:proofErr w:type="spellEnd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önemli</w:t>
            </w:r>
            <w:proofErr w:type="spellEnd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nedenidir</w:t>
            </w:r>
            <w:proofErr w:type="spellEnd"/>
            <w:r w:rsidRPr="00D5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COVID-19’lu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ateş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görülebilir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yüzden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dehidratasyon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riskiyle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karşılaşabilir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Kusma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ishal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varlığı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0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özellikle</w:t>
            </w:r>
            <w:proofErr w:type="spellEnd"/>
            <w:r w:rsidRPr="00FC10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0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terlemenin</w:t>
            </w:r>
            <w:proofErr w:type="spellEnd"/>
            <w:r w:rsidRPr="00FC10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0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yoğun</w:t>
            </w:r>
            <w:proofErr w:type="spellEnd"/>
            <w:r w:rsidRPr="00FC10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0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olduğu</w:t>
            </w:r>
            <w:proofErr w:type="spellEnd"/>
            <w:r w:rsidRPr="00FC10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enfeksiyon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tabloları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doz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azaltımını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ilacın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kesilmesini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gerektirebilir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yukarıya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bakınız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). </w:t>
            </w:r>
            <w:r w:rsidRPr="00DC46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28B90FC0" w14:textId="77777777" w:rsidR="0093406A" w:rsidRPr="00DC460D" w:rsidRDefault="0093406A" w:rsidP="0093406A">
            <w:pPr>
              <w:numPr>
                <w:ilvl w:val="0"/>
                <w:numId w:val="15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Tüm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hastalara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özellikle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ateşleri</w:t>
            </w:r>
            <w:proofErr w:type="spellEnd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varsa</w:t>
            </w:r>
            <w:proofErr w:type="spellEnd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uzun</w:t>
            </w:r>
            <w:proofErr w:type="spellEnd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süre</w:t>
            </w:r>
            <w:proofErr w:type="spellEnd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hareketsiz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kalıyorlarsa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</w:t>
            </w:r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DB58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alt </w:t>
            </w:r>
            <w:proofErr w:type="spellStart"/>
            <w:r w:rsidRPr="00DB58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solunum</w:t>
            </w:r>
            <w:proofErr w:type="spellEnd"/>
            <w:r w:rsidRPr="00DB58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58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yolu</w:t>
            </w:r>
            <w:proofErr w:type="spellEnd"/>
            <w:r w:rsidRPr="00DB58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58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enfeksiyonu</w:t>
            </w:r>
            <w:proofErr w:type="spellEnd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pnömoni</w:t>
            </w:r>
            <w:proofErr w:type="spellEnd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geliştirmeleri</w:t>
            </w:r>
            <w:proofErr w:type="spellEnd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durumunda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sıvı</w:t>
            </w:r>
            <w:proofErr w:type="spellEnd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alımların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dikkat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etmelerini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hatırlatın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  <w:p w14:paraId="5E9E0720" w14:textId="77777777" w:rsidR="0093406A" w:rsidRPr="00DC460D" w:rsidRDefault="0093406A" w:rsidP="0093406A">
            <w:pPr>
              <w:numPr>
                <w:ilvl w:val="0"/>
                <w:numId w:val="15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Evde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sınırlı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malzeme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izole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edilen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hastalar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ın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44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diyetleri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dolayısıyla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lityum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seviyelerini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etkileyebilecek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>sodyum</w:t>
            </w:r>
            <w:proofErr w:type="spellEnd"/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alımları</w:t>
            </w:r>
            <w:proofErr w:type="spellEnd"/>
            <w:r w:rsidRPr="00E744D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önemli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ölçüde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değiş</w:t>
            </w:r>
            <w:r w:rsidRPr="00E744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ebilir</w:t>
            </w:r>
            <w:proofErr w:type="spellEnd"/>
            <w:r w:rsidRPr="00E744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Pr="00CF5D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</w:p>
          <w:p w14:paraId="6F843050" w14:textId="77777777" w:rsidR="0093406A" w:rsidRPr="00796C59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406A" w:rsidRPr="00796C59" w14:paraId="7F1D8651" w14:textId="77777777" w:rsidTr="00585D0E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0F2FF"/>
          </w:tcPr>
          <w:p w14:paraId="1BA2A187" w14:textId="77777777" w:rsidR="0093406A" w:rsidRDefault="0093406A" w:rsidP="0093406A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Lityum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tedavisi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COVID-19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açısından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daha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riskli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midir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491B8585" w14:textId="77777777" w:rsidR="0093406A" w:rsidRDefault="0093406A" w:rsidP="0093406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796C59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40" w:history="1">
              <w:r w:rsidRPr="00796C5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796C59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3FDE121D" w14:textId="77777777" w:rsidR="0093406A" w:rsidRPr="00796C59" w:rsidRDefault="0093406A" w:rsidP="0093406A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0F2FF"/>
          </w:tcPr>
          <w:p w14:paraId="4569B15C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>Lityumun</w:t>
            </w:r>
            <w:proofErr w:type="spellEnd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>solunum</w:t>
            </w:r>
            <w:proofErr w:type="spellEnd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>yolu</w:t>
            </w:r>
            <w:proofErr w:type="spellEnd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>enfeksiyonları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enfeksiyonların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>v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pnömoni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komplikasyonların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>riskini</w:t>
            </w:r>
            <w:proofErr w:type="spellEnd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>arttırdığına</w:t>
            </w:r>
            <w:proofErr w:type="spellEnd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>dair</w:t>
            </w:r>
            <w:proofErr w:type="spellEnd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25D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125D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5D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kanıt</w:t>
            </w:r>
            <w:proofErr w:type="spellEnd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25D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yok</w:t>
            </w:r>
            <w:r w:rsidRPr="00125D64">
              <w:rPr>
                <w:rFonts w:asciiTheme="majorHAnsi" w:hAnsiTheme="majorHAnsi" w:cstheme="majorHAnsi"/>
                <w:sz w:val="20"/>
                <w:szCs w:val="20"/>
              </w:rPr>
              <w:t>tur</w:t>
            </w:r>
            <w:proofErr w:type="spellEnd"/>
            <w:r w:rsidRPr="00125D6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2C5F390" w14:textId="77777777" w:rsidR="0093406A" w:rsidRPr="00796C59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406A" w:rsidRPr="00796C59" w14:paraId="441624D5" w14:textId="77777777" w:rsidTr="00585D0E">
        <w:tc>
          <w:tcPr>
            <w:tcW w:w="5000" w:type="pct"/>
            <w:gridSpan w:val="2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147"/>
          </w:tcPr>
          <w:p w14:paraId="2AB6DBAC" w14:textId="77777777" w:rsidR="0093406A" w:rsidRPr="00796C59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Önerilen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kan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testi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sıklığına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uyma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konusun</w:t>
            </w:r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karşılaşılan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zorlukları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yönetebilirim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</w:tc>
      </w:tr>
      <w:tr w:rsidR="0093406A" w:rsidRPr="00796C59" w14:paraId="2809BBD0" w14:textId="77777777" w:rsidTr="00585D0E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FFFFFF" w:themeFill="background1"/>
          </w:tcPr>
          <w:p w14:paraId="208FE6EF" w14:textId="77777777" w:rsidR="0093406A" w:rsidRDefault="0093406A" w:rsidP="0093406A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Kan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seviyesi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izleme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sıklığını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değiştirebilir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miyim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örneğin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planlanan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kan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testlerini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atla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nması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ertelenmesi</w:t>
            </w:r>
            <w:proofErr w:type="spellEnd"/>
            <w:r w:rsidRPr="00934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)?</w:t>
            </w:r>
          </w:p>
          <w:p w14:paraId="4B9B1359" w14:textId="77777777" w:rsidR="0093406A" w:rsidRDefault="0093406A" w:rsidP="0093406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41" w:history="1">
              <w:r w:rsidRPr="0097092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174223D6" w14:textId="451A2BE9" w:rsidR="0093406A" w:rsidRDefault="0093406A" w:rsidP="0093406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42" w:history="1">
              <w:r w:rsidRPr="004D380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link4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5F658ECC" w14:textId="77777777" w:rsidR="0093406A" w:rsidRPr="00796C59" w:rsidRDefault="0093406A" w:rsidP="0093406A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FFFFFF" w:themeFill="background1"/>
          </w:tcPr>
          <w:p w14:paraId="562421F1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>Lityum</w:t>
            </w:r>
            <w:proofErr w:type="spellEnd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>izlem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>standart</w:t>
            </w:r>
            <w:proofErr w:type="spellEnd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>kan</w:t>
            </w:r>
            <w:proofErr w:type="spellEnd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>testleri</w:t>
            </w:r>
            <w:proofErr w:type="spellEnd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</w:t>
            </w:r>
            <w:r w:rsidRPr="0093424F">
              <w:rPr>
                <w:rFonts w:asciiTheme="majorHAnsi" w:hAnsiTheme="majorHAnsi" w:cstheme="majorHAnsi"/>
                <w:sz w:val="20"/>
                <w:szCs w:val="20"/>
              </w:rPr>
              <w:t>ubat</w:t>
            </w:r>
            <w:proofErr w:type="spellEnd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 xml:space="preserve"> 2020'de </w:t>
            </w:r>
            <w:proofErr w:type="spellStart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>güncellenen</w:t>
            </w:r>
            <w:proofErr w:type="spellEnd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43" w:history="1">
              <w:r w:rsidRPr="00DC460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NICE Guideline 185</w:t>
              </w:r>
            </w:hyperlink>
            <w:r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’te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belirtil</w:t>
            </w:r>
            <w:r w:rsidRPr="0093424F">
              <w:rPr>
                <w:rFonts w:asciiTheme="majorHAnsi" w:hAnsiTheme="majorHAnsi" w:cstheme="majorHAnsi"/>
                <w:sz w:val="20"/>
                <w:szCs w:val="20"/>
              </w:rPr>
              <w:t>miştir</w:t>
            </w:r>
            <w:proofErr w:type="spellEnd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>Özet</w:t>
            </w:r>
            <w:proofErr w:type="spellEnd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3424F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dipnot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1’e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bakınız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DC460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33701BA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4A1AFB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İzlem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aralıklarının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genişletilmesi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kararı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vaka</w:t>
            </w:r>
            <w:proofErr w:type="spellEnd"/>
            <w:r w:rsidRPr="000645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5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bazında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alınmalıdır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ancak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yıldan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uzun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süredir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stabil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başka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risk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faktörü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bulunmayan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hastalar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düşünülebilir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5F9E3EE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A9E5A4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F2AD2">
              <w:rPr>
                <w:rFonts w:asciiTheme="majorHAnsi" w:hAnsiTheme="majorHAnsi" w:cstheme="majorHAnsi"/>
                <w:sz w:val="20"/>
                <w:szCs w:val="20"/>
              </w:rPr>
              <w:t xml:space="preserve">Bir </w:t>
            </w:r>
            <w:proofErr w:type="spellStart"/>
            <w:r w:rsidRPr="007F2AD2"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 w:rsidRPr="007F2A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F2AD2">
              <w:rPr>
                <w:rFonts w:asciiTheme="majorHAnsi" w:hAnsiTheme="majorHAnsi" w:cstheme="majorHAnsi"/>
                <w:sz w:val="20"/>
                <w:szCs w:val="20"/>
              </w:rPr>
              <w:t>kan</w:t>
            </w:r>
            <w:proofErr w:type="spellEnd"/>
            <w:r w:rsidRPr="007F2A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F2AD2">
              <w:rPr>
                <w:rFonts w:asciiTheme="majorHAnsi" w:hAnsiTheme="majorHAnsi" w:cstheme="majorHAnsi"/>
                <w:sz w:val="20"/>
                <w:szCs w:val="20"/>
              </w:rPr>
              <w:t>testi</w:t>
            </w:r>
            <w:proofErr w:type="spellEnd"/>
            <w:r w:rsidRPr="007F2A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F2AD2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7F2A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takipli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merkeze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F2AD2">
              <w:rPr>
                <w:rFonts w:asciiTheme="majorHAnsi" w:hAnsiTheme="majorHAnsi" w:cstheme="majorHAnsi"/>
                <w:sz w:val="20"/>
                <w:szCs w:val="20"/>
              </w:rPr>
              <w:t>gidememesi</w:t>
            </w:r>
            <w:proofErr w:type="spellEnd"/>
            <w:r w:rsidRPr="007F2A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F2AD2">
              <w:rPr>
                <w:rFonts w:asciiTheme="majorHAnsi" w:hAnsiTheme="majorHAnsi" w:cstheme="majorHAnsi"/>
                <w:sz w:val="20"/>
                <w:szCs w:val="20"/>
              </w:rPr>
              <w:t>durumunda</w:t>
            </w:r>
            <w:proofErr w:type="spellEnd"/>
            <w:r w:rsidRPr="007F2AD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kan</w:t>
            </w:r>
            <w:proofErr w:type="spellEnd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testinin</w:t>
            </w:r>
            <w:proofErr w:type="spellEnd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farklı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yerde</w:t>
            </w:r>
            <w:proofErr w:type="spellEnd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yapılması</w:t>
            </w:r>
            <w:proofErr w:type="spellEnd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yerel</w:t>
            </w:r>
            <w:proofErr w:type="spellEnd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olanaklara</w:t>
            </w:r>
            <w:proofErr w:type="spellEnd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bağlı</w:t>
            </w:r>
            <w:proofErr w:type="spellEnd"/>
            <w:r w:rsidRPr="007F2A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56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olarak</w:t>
            </w:r>
            <w:proofErr w:type="spellEnd"/>
            <w:r w:rsidRPr="00AD56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56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alternatif</w:t>
            </w:r>
            <w:proofErr w:type="spellEnd"/>
            <w:r w:rsidRPr="00AD56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56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kaynakların</w:t>
            </w:r>
            <w:proofErr w:type="spellEnd"/>
            <w:r w:rsidRPr="00AD56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56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kullanılması</w:t>
            </w:r>
            <w:proofErr w:type="spellEnd"/>
            <w:r w:rsidRPr="00AD56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561E">
              <w:rPr>
                <w:rFonts w:asciiTheme="majorHAnsi" w:hAnsiTheme="majorHAnsi" w:cstheme="majorHAnsi"/>
                <w:sz w:val="20"/>
                <w:szCs w:val="20"/>
              </w:rPr>
              <w:t>gözden</w:t>
            </w:r>
            <w:proofErr w:type="spellEnd"/>
            <w:r w:rsidRPr="00AD561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561E">
              <w:rPr>
                <w:rFonts w:asciiTheme="majorHAnsi" w:hAnsiTheme="majorHAnsi" w:cstheme="majorHAnsi"/>
                <w:sz w:val="20"/>
                <w:szCs w:val="20"/>
              </w:rPr>
              <w:t>geçirilmelidir</w:t>
            </w:r>
            <w:proofErr w:type="spellEnd"/>
            <w:r w:rsidRPr="00AD561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DC460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6DBD005" w14:textId="77777777" w:rsidR="0093406A" w:rsidRPr="00DC460D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C82B01" w14:textId="77777777" w:rsidR="0093406A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Yüksek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riskli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hastalar</w:t>
            </w:r>
            <w:proofErr w:type="spellEnd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>yukarıya</w:t>
            </w:r>
            <w:proofErr w:type="spellEnd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>bakınız</w:t>
            </w:r>
            <w:proofErr w:type="spellEnd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 xml:space="preserve">) 3 </w:t>
            </w:r>
            <w:proofErr w:type="spellStart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>ayda</w:t>
            </w:r>
            <w:proofErr w:type="spellEnd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>düzenli</w:t>
            </w:r>
            <w:proofErr w:type="spellEnd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>lityum</w:t>
            </w:r>
            <w:proofErr w:type="spellEnd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>izlem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ine</w:t>
            </w:r>
            <w:proofErr w:type="spellEnd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>etmelidir</w:t>
            </w:r>
            <w:proofErr w:type="spellEnd"/>
            <w:r w:rsidRPr="000716C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F26A161" w14:textId="77777777" w:rsidR="0093406A" w:rsidRPr="00796C59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406A" w:rsidRPr="00796C59" w14:paraId="2F5098CE" w14:textId="77777777" w:rsidTr="00585D0E">
        <w:tc>
          <w:tcPr>
            <w:tcW w:w="1148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0F3FF"/>
          </w:tcPr>
          <w:p w14:paraId="4B43A261" w14:textId="77777777" w:rsidR="00C87650" w:rsidRDefault="00C87650" w:rsidP="00C87650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Personel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eğitiminde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herhangi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değişiklik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yapılması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gerekir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mi?</w:t>
            </w:r>
          </w:p>
          <w:p w14:paraId="25D00D7F" w14:textId="54429411" w:rsidR="0093406A" w:rsidRPr="006D31DC" w:rsidRDefault="0093406A" w:rsidP="0093406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6D31DC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44" w:history="1">
              <w:r w:rsidRPr="006D31D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</w:t>
              </w:r>
              <w:r w:rsidRPr="006D31D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k</w:t>
              </w:r>
              <w:r w:rsidRPr="006D31D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6</w:t>
              </w:r>
            </w:hyperlink>
            <w:r w:rsidRPr="006D31DC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852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0F3FF"/>
          </w:tcPr>
          <w:p w14:paraId="39A299DA" w14:textId="77777777" w:rsidR="0093406A" w:rsidRPr="00796C59" w:rsidRDefault="0093406A" w:rsidP="0093406A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Zorunlu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kan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testlerini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ör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.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klozapin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lityum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kullanan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hastalarda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)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sürdürebilmek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için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yeterli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bir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personel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havuzunun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mevcut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olduğundan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emin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olmak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maksadıyla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fiziksel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sağlık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hizmetinin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temel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yönleri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hakkında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bilgi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tazeleme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ve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beceri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geliştirme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eğitimlerini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gözden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ja-JP"/>
              </w:rPr>
              <w:t>geçirin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.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Örneğin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diğer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sağlık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çalışanlarının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kan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alma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eğitimi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alması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ve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enfeksiyon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kontrolü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konusunda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bilgi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becer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pratiklerinin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tazelenmesi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lütfen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yerel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ve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ulusal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önerilere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uyunuz</w:t>
            </w:r>
            <w:proofErr w:type="spellEnd"/>
            <w:r w:rsidRPr="00D654C0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  <w:t>).</w:t>
            </w:r>
          </w:p>
          <w:p w14:paraId="2DF51C6F" w14:textId="77777777" w:rsidR="0093406A" w:rsidRPr="00796C59" w:rsidRDefault="0093406A" w:rsidP="0093406A">
            <w:pPr>
              <w:spacing w:before="8" w:after="8" w:line="233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93406A" w:rsidRPr="00796C59" w14:paraId="0342CC45" w14:textId="77777777" w:rsidTr="00585D0E">
        <w:tc>
          <w:tcPr>
            <w:tcW w:w="5000" w:type="pct"/>
            <w:gridSpan w:val="2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147"/>
          </w:tcPr>
          <w:p w14:paraId="4202DF71" w14:textId="77777777" w:rsidR="0093406A" w:rsidRPr="00796C59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Lityumun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farklı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formları</w:t>
            </w:r>
            <w:proofErr w:type="spellEnd"/>
          </w:p>
        </w:tc>
      </w:tr>
      <w:tr w:rsidR="0093406A" w:rsidRPr="00796C59" w14:paraId="1CBAAEE6" w14:textId="77777777" w:rsidTr="00585D0E">
        <w:trPr>
          <w:trHeight w:val="575"/>
        </w:trPr>
        <w:tc>
          <w:tcPr>
            <w:tcW w:w="1148" w:type="pct"/>
            <w:tcBorders>
              <w:top w:val="nil"/>
              <w:left w:val="single" w:sz="48" w:space="0" w:color="E2F2FF"/>
              <w:bottom w:val="single" w:sz="48" w:space="0" w:color="E2F2FF"/>
              <w:right w:val="nil"/>
            </w:tcBorders>
            <w:shd w:val="clear" w:color="auto" w:fill="FFFFFF" w:themeFill="background1"/>
          </w:tcPr>
          <w:p w14:paraId="34A31ADB" w14:textId="77777777" w:rsidR="0093406A" w:rsidRDefault="0093406A" w:rsidP="0093406A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Genelde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kullandığım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lityum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preparatının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tedariği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yetersiz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preparata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erişim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zorsa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başka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markaya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geçebilir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miyim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? </w:t>
            </w:r>
          </w:p>
          <w:p w14:paraId="704A0858" w14:textId="77777777" w:rsidR="0093406A" w:rsidRPr="006D31DC" w:rsidRDefault="0093406A" w:rsidP="0093406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6D31DC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45" w:history="1">
              <w:r w:rsidRPr="006D31D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link7</w:t>
              </w:r>
            </w:hyperlink>
            <w:r w:rsidRPr="006D31DC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632EFF11" w14:textId="77777777" w:rsidR="0093406A" w:rsidRPr="00796C59" w:rsidRDefault="0093406A" w:rsidP="0093406A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1D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[</w:t>
            </w:r>
            <w:hyperlink r:id="rId46" w:history="1">
              <w:r w:rsidRPr="006D31D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link8</w:t>
              </w:r>
            </w:hyperlink>
            <w:r w:rsidRPr="006D31DC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852" w:type="pct"/>
            <w:tcBorders>
              <w:top w:val="nil"/>
              <w:left w:val="nil"/>
              <w:bottom w:val="single" w:sz="48" w:space="0" w:color="E2F2FF"/>
              <w:right w:val="single" w:sz="48" w:space="0" w:color="E2F2FF"/>
            </w:tcBorders>
            <w:shd w:val="clear" w:color="auto" w:fill="FFFFFF" w:themeFill="background1"/>
          </w:tcPr>
          <w:p w14:paraId="1CFC2CFC" w14:textId="77295DEF" w:rsidR="0093406A" w:rsidRPr="006D31DC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Preparatlar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arası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E1A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="002E1A90">
              <w:rPr>
                <w:rFonts w:asciiTheme="majorHAnsi" w:hAnsiTheme="majorHAnsi" w:cstheme="majorHAnsi"/>
                <w:sz w:val="20"/>
                <w:szCs w:val="20"/>
              </w:rPr>
              <w:t>özellikle</w:t>
            </w:r>
            <w:proofErr w:type="spellEnd"/>
            <w:r w:rsidR="002E1A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1A90">
              <w:rPr>
                <w:rFonts w:asciiTheme="majorHAnsi" w:hAnsiTheme="majorHAnsi" w:cstheme="majorHAnsi"/>
                <w:sz w:val="20"/>
                <w:szCs w:val="20"/>
              </w:rPr>
              <w:t>hızlı</w:t>
            </w:r>
            <w:proofErr w:type="spellEnd"/>
            <w:r w:rsidR="002E1A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1A90">
              <w:rPr>
                <w:rFonts w:asciiTheme="majorHAnsi" w:hAnsiTheme="majorHAnsi" w:cstheme="majorHAnsi"/>
                <w:sz w:val="20"/>
                <w:szCs w:val="20"/>
              </w:rPr>
              <w:t>salınımlı</w:t>
            </w:r>
            <w:proofErr w:type="spellEnd"/>
            <w:r w:rsidR="002E1A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1A90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2E1A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1A90">
              <w:rPr>
                <w:rFonts w:asciiTheme="majorHAnsi" w:hAnsiTheme="majorHAnsi" w:cstheme="majorHAnsi"/>
                <w:sz w:val="20"/>
                <w:szCs w:val="20"/>
              </w:rPr>
              <w:t>kontrollü</w:t>
            </w:r>
            <w:proofErr w:type="spellEnd"/>
            <w:r w:rsidR="002E1A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1A90">
              <w:rPr>
                <w:rFonts w:asciiTheme="majorHAnsi" w:hAnsiTheme="majorHAnsi" w:cstheme="majorHAnsi"/>
                <w:sz w:val="20"/>
                <w:szCs w:val="20"/>
              </w:rPr>
              <w:t>salınımlı</w:t>
            </w:r>
            <w:proofErr w:type="spellEnd"/>
            <w:r w:rsidR="002E1A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1A90">
              <w:rPr>
                <w:rFonts w:asciiTheme="majorHAnsi" w:hAnsiTheme="majorHAnsi" w:cstheme="majorHAnsi"/>
                <w:sz w:val="20"/>
                <w:szCs w:val="20"/>
              </w:rPr>
              <w:t>formlar</w:t>
            </w:r>
            <w:proofErr w:type="spellEnd"/>
            <w:r w:rsidR="002E1A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1A90">
              <w:rPr>
                <w:rFonts w:asciiTheme="majorHAnsi" w:hAnsiTheme="majorHAnsi" w:cstheme="majorHAnsi"/>
                <w:sz w:val="20"/>
                <w:szCs w:val="20"/>
              </w:rPr>
              <w:t>arasında</w:t>
            </w:r>
            <w:proofErr w:type="spellEnd"/>
            <w:r w:rsidR="002E1A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2E1A90">
              <w:rPr>
                <w:rFonts w:asciiTheme="majorHAnsi" w:hAnsiTheme="majorHAnsi" w:cstheme="majorHAnsi"/>
                <w:sz w:val="20"/>
                <w:szCs w:val="20"/>
              </w:rPr>
              <w:t>biyoyararlanım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önemli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ölçüde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değişkenlik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gösterdiğinden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lityum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preparatları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geçişte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dikkatli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olunmalıdır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  <w:proofErr w:type="spellStart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Preparat</w:t>
            </w:r>
            <w:proofErr w:type="spellEnd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değişikli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ği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tedavi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başlangıcındaki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izlem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kurallarının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uygulanmasını</w:t>
            </w:r>
            <w:proofErr w:type="spellEnd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gerektirir</w:t>
            </w:r>
            <w:proofErr w:type="spellEnd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</w:p>
          <w:p w14:paraId="1156720D" w14:textId="77777777" w:rsidR="0093406A" w:rsidRPr="006D31DC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622089" w14:textId="77777777" w:rsidR="0093406A" w:rsidRPr="006D31DC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Preparat</w:t>
            </w:r>
            <w:proofErr w:type="spellEnd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değişikliği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gerekliyse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yerel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kılavuzlara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uyunuz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ancak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genel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hatlarıyla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1B86EA02" w14:textId="77777777" w:rsidR="0093406A" w:rsidRPr="006D31DC" w:rsidRDefault="0093406A" w:rsidP="0093406A">
            <w:pPr>
              <w:numPr>
                <w:ilvl w:val="0"/>
                <w:numId w:val="17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Hedef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plazma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düzeyini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belirleyin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21CC1815" w14:textId="77777777" w:rsidR="0093406A" w:rsidRPr="006D31DC" w:rsidRDefault="0093406A" w:rsidP="0093406A">
            <w:pPr>
              <w:numPr>
                <w:ilvl w:val="0"/>
                <w:numId w:val="17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Kullandığınız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preparatı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kesip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yeni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preparatı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standart</w:t>
            </w:r>
            <w:proofErr w:type="spellEnd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titrasyon</w:t>
            </w:r>
            <w:proofErr w:type="spellEnd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4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planı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başlayın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DC4B0CD" w14:textId="77777777" w:rsidR="0093406A" w:rsidRPr="006D31DC" w:rsidRDefault="0093406A" w:rsidP="0093406A">
            <w:pPr>
              <w:numPr>
                <w:ilvl w:val="0"/>
                <w:numId w:val="17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Kararlı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durum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plazma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seviyesini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kontrol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DC2AFA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DC2AFA">
              <w:rPr>
                <w:rFonts w:asciiTheme="majorHAnsi" w:hAnsiTheme="majorHAnsi" w:cstheme="majorHAnsi"/>
                <w:sz w:val="20"/>
                <w:szCs w:val="20"/>
              </w:rPr>
              <w:t>genellikle</w:t>
            </w:r>
            <w:proofErr w:type="spellEnd"/>
            <w:r w:rsidRPr="00DC2AF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C2AFA">
              <w:rPr>
                <w:rFonts w:asciiTheme="majorHAnsi" w:hAnsiTheme="majorHAnsi" w:cstheme="majorHAnsi"/>
                <w:sz w:val="20"/>
                <w:szCs w:val="20"/>
              </w:rPr>
              <w:t>başlangıçtan</w:t>
            </w:r>
            <w:proofErr w:type="spellEnd"/>
            <w:r w:rsidRPr="00DC2AFA">
              <w:rPr>
                <w:rFonts w:asciiTheme="majorHAnsi" w:hAnsiTheme="majorHAnsi" w:cstheme="majorHAnsi"/>
                <w:sz w:val="20"/>
                <w:szCs w:val="20"/>
              </w:rPr>
              <w:t xml:space="preserve"> 5-7 </w:t>
            </w:r>
            <w:proofErr w:type="spellStart"/>
            <w:r w:rsidRPr="00DC2AFA">
              <w:rPr>
                <w:rFonts w:asciiTheme="majorHAnsi" w:hAnsiTheme="majorHAnsi" w:cstheme="majorHAnsi"/>
                <w:sz w:val="20"/>
                <w:szCs w:val="20"/>
              </w:rPr>
              <w:t>gün</w:t>
            </w:r>
            <w:proofErr w:type="spellEnd"/>
            <w:r w:rsidRPr="00DC2AF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C2AFA"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 w:rsidRPr="00DC2AFA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</w:p>
          <w:p w14:paraId="6DBF73C6" w14:textId="77777777" w:rsidR="0093406A" w:rsidRPr="006D31DC" w:rsidRDefault="0093406A" w:rsidP="0093406A">
            <w:pPr>
              <w:numPr>
                <w:ilvl w:val="0"/>
                <w:numId w:val="17"/>
              </w:num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Dozu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ayarlayın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A525C">
              <w:rPr>
                <w:rFonts w:asciiTheme="majorHAnsi" w:hAnsiTheme="majorHAnsi" w:cstheme="majorHAnsi"/>
                <w:sz w:val="20"/>
                <w:szCs w:val="20"/>
              </w:rPr>
              <w:t>hedef</w:t>
            </w:r>
            <w:proofErr w:type="spellEnd"/>
            <w:r w:rsidRPr="008A525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525C">
              <w:rPr>
                <w:rFonts w:asciiTheme="majorHAnsi" w:hAnsiTheme="majorHAnsi" w:cstheme="majorHAnsi"/>
                <w:sz w:val="20"/>
                <w:szCs w:val="20"/>
              </w:rPr>
              <w:t>düzeye</w:t>
            </w:r>
            <w:proofErr w:type="spellEnd"/>
            <w:r w:rsidRPr="008A525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525C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951A9">
              <w:rPr>
                <w:rFonts w:asciiTheme="majorHAnsi" w:hAnsiTheme="majorHAnsi" w:cstheme="majorHAnsi"/>
                <w:sz w:val="20"/>
                <w:szCs w:val="20"/>
              </w:rPr>
              <w:t>kararlı</w:t>
            </w:r>
            <w:proofErr w:type="spellEnd"/>
            <w:r w:rsidRPr="00C951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951A9">
              <w:rPr>
                <w:rFonts w:asciiTheme="majorHAnsi" w:hAnsiTheme="majorHAnsi" w:cstheme="majorHAnsi"/>
                <w:sz w:val="20"/>
                <w:szCs w:val="20"/>
              </w:rPr>
              <w:t>durum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proofErr w:type="spellEnd"/>
            <w:r w:rsidRPr="00C951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951A9">
              <w:rPr>
                <w:rFonts w:asciiTheme="majorHAnsi" w:hAnsiTheme="majorHAnsi" w:cstheme="majorHAnsi"/>
                <w:sz w:val="20"/>
                <w:szCs w:val="20"/>
              </w:rPr>
              <w:t>ulaşana</w:t>
            </w:r>
            <w:proofErr w:type="spellEnd"/>
            <w:r w:rsidRPr="00C951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951A9">
              <w:rPr>
                <w:rFonts w:asciiTheme="majorHAnsi" w:hAnsiTheme="majorHAnsi" w:cstheme="majorHAnsi"/>
                <w:sz w:val="20"/>
                <w:szCs w:val="20"/>
              </w:rPr>
              <w:t>kadar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plazma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seviyesini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kontrol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64C961D2" w14:textId="77777777" w:rsidR="0093406A" w:rsidRPr="00796C59" w:rsidRDefault="0093406A" w:rsidP="0093406A">
            <w:pPr>
              <w:spacing w:before="8" w:after="8" w:line="233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0D47FD4" w14:textId="77777777" w:rsidR="0093406A" w:rsidRPr="00FB736C" w:rsidRDefault="0093406A" w:rsidP="0093406A">
      <w:pPr>
        <w:spacing w:before="8" w:after="8" w:line="240" w:lineRule="auto"/>
        <w:rPr>
          <w:rFonts w:asciiTheme="majorHAnsi" w:hAnsiTheme="majorHAnsi" w:cstheme="majorHAnsi"/>
          <w:sz w:val="13"/>
          <w:szCs w:val="13"/>
        </w:rPr>
      </w:pPr>
    </w:p>
    <w:p w14:paraId="3338AC6D" w14:textId="77777777" w:rsidR="0093406A" w:rsidRPr="004D380F" w:rsidRDefault="0093406A" w:rsidP="0093406A">
      <w:pPr>
        <w:spacing w:before="8" w:after="8" w:line="228" w:lineRule="auto"/>
        <w:ind w:left="-284" w:hanging="283"/>
        <w:rPr>
          <w:rFonts w:asciiTheme="majorHAnsi" w:hAnsiTheme="majorHAnsi" w:cstheme="majorHAnsi"/>
          <w:sz w:val="19"/>
          <w:szCs w:val="19"/>
        </w:rPr>
      </w:pPr>
      <w:proofErr w:type="spellStart"/>
      <w:r>
        <w:rPr>
          <w:rFonts w:asciiTheme="majorHAnsi" w:hAnsiTheme="majorHAnsi" w:cstheme="majorHAnsi"/>
          <w:b/>
          <w:bCs/>
          <w:sz w:val="19"/>
          <w:szCs w:val="19"/>
        </w:rPr>
        <w:t>Dipnot</w:t>
      </w:r>
      <w:proofErr w:type="spellEnd"/>
      <w:r w:rsidRPr="004D380F">
        <w:rPr>
          <w:rFonts w:asciiTheme="majorHAnsi" w:hAnsiTheme="majorHAnsi" w:cstheme="majorHAnsi"/>
          <w:b/>
          <w:bCs/>
          <w:sz w:val="19"/>
          <w:szCs w:val="19"/>
        </w:rPr>
        <w:t xml:space="preserve"> 1:</w:t>
      </w:r>
      <w:r w:rsidRPr="004D380F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A27EEF">
        <w:rPr>
          <w:rFonts w:asciiTheme="majorHAnsi" w:hAnsiTheme="majorHAnsi" w:cstheme="majorHAnsi"/>
          <w:sz w:val="19"/>
          <w:szCs w:val="19"/>
        </w:rPr>
        <w:t>Yüksek</w:t>
      </w:r>
      <w:proofErr w:type="spellEnd"/>
      <w:r w:rsidRPr="00A27EEF">
        <w:rPr>
          <w:rFonts w:asciiTheme="majorHAnsi" w:hAnsiTheme="majorHAnsi" w:cstheme="majorHAnsi"/>
          <w:sz w:val="19"/>
          <w:szCs w:val="19"/>
        </w:rPr>
        <w:t xml:space="preserve"> risk </w:t>
      </w:r>
      <w:proofErr w:type="spellStart"/>
      <w:r w:rsidRPr="00A27EEF">
        <w:rPr>
          <w:rFonts w:asciiTheme="majorHAnsi" w:hAnsiTheme="majorHAnsi" w:cstheme="majorHAnsi"/>
          <w:sz w:val="19"/>
          <w:szCs w:val="19"/>
        </w:rPr>
        <w:t>altında</w:t>
      </w:r>
      <w:proofErr w:type="spellEnd"/>
      <w:r w:rsidRPr="00A27EEF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A27EEF">
        <w:rPr>
          <w:rFonts w:asciiTheme="majorHAnsi" w:hAnsiTheme="majorHAnsi" w:cstheme="majorHAnsi"/>
          <w:sz w:val="19"/>
          <w:szCs w:val="19"/>
        </w:rPr>
        <w:t>olmayan</w:t>
      </w:r>
      <w:proofErr w:type="spellEnd"/>
      <w:r w:rsidRPr="00A27EEF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A27EEF">
        <w:rPr>
          <w:rFonts w:asciiTheme="majorHAnsi" w:hAnsiTheme="majorHAnsi" w:cstheme="majorHAnsi"/>
          <w:sz w:val="19"/>
          <w:szCs w:val="19"/>
        </w:rPr>
        <w:t>gruplarda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lityum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başlanması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ve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idamesine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dair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İngiltere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ulusal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kılavuzuna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hyperlink r:id="rId47" w:history="1">
        <w:proofErr w:type="spellStart"/>
        <w:r w:rsidRPr="007E4D34">
          <w:rPr>
            <w:rStyle w:val="Hyperlink"/>
            <w:rFonts w:asciiTheme="majorHAnsi" w:hAnsiTheme="majorHAnsi" w:cstheme="majorHAnsi"/>
            <w:sz w:val="19"/>
            <w:szCs w:val="19"/>
          </w:rPr>
          <w:t>buradan</w:t>
        </w:r>
        <w:proofErr w:type="spellEnd"/>
      </w:hyperlink>
      <w:r>
        <w:rPr>
          <w:rStyle w:val="Hyperlink"/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erişilebilir</w:t>
      </w:r>
      <w:proofErr w:type="spellEnd"/>
      <w:r>
        <w:rPr>
          <w:rFonts w:asciiTheme="majorHAnsi" w:hAnsiTheme="majorHAnsi" w:cstheme="majorHAnsi"/>
          <w:sz w:val="19"/>
          <w:szCs w:val="19"/>
        </w:rPr>
        <w:t>.</w:t>
      </w:r>
    </w:p>
    <w:p w14:paraId="203BA538" w14:textId="77777777" w:rsidR="0093406A" w:rsidRPr="004D380F" w:rsidRDefault="0093406A" w:rsidP="0093406A">
      <w:pPr>
        <w:spacing w:before="8" w:after="8" w:line="228" w:lineRule="auto"/>
        <w:ind w:left="-284" w:hanging="283"/>
        <w:rPr>
          <w:rFonts w:asciiTheme="majorHAnsi" w:hAnsiTheme="majorHAnsi" w:cstheme="majorHAnsi"/>
          <w:sz w:val="19"/>
          <w:szCs w:val="19"/>
        </w:rPr>
      </w:pPr>
    </w:p>
    <w:p w14:paraId="2B3E2418" w14:textId="77777777" w:rsidR="0093406A" w:rsidRDefault="0093406A" w:rsidP="0093406A">
      <w:pPr>
        <w:spacing w:before="8" w:after="8" w:line="228" w:lineRule="auto"/>
        <w:ind w:left="-284" w:hanging="283"/>
        <w:rPr>
          <w:rFonts w:asciiTheme="majorHAnsi" w:hAnsiTheme="majorHAnsi" w:cstheme="majorHAnsi"/>
          <w:b/>
          <w:bCs/>
          <w:sz w:val="19"/>
          <w:szCs w:val="19"/>
          <w:u w:val="single"/>
        </w:rPr>
      </w:pPr>
      <w:proofErr w:type="spellStart"/>
      <w:r w:rsidRPr="004D380F">
        <w:rPr>
          <w:rFonts w:asciiTheme="majorHAnsi" w:hAnsiTheme="majorHAnsi" w:cstheme="majorHAnsi"/>
          <w:b/>
          <w:bCs/>
          <w:sz w:val="19"/>
          <w:szCs w:val="19"/>
          <w:u w:val="single"/>
        </w:rPr>
        <w:t>Ba</w:t>
      </w:r>
      <w:r>
        <w:rPr>
          <w:rFonts w:asciiTheme="majorHAnsi" w:hAnsiTheme="majorHAnsi" w:cstheme="majorHAnsi"/>
          <w:b/>
          <w:bCs/>
          <w:sz w:val="19"/>
          <w:szCs w:val="19"/>
          <w:u w:val="single"/>
        </w:rPr>
        <w:t>şlamadan</w:t>
      </w:r>
      <w:proofErr w:type="spellEnd"/>
      <w:r>
        <w:rPr>
          <w:rFonts w:asciiTheme="majorHAnsi" w:hAnsiTheme="majorHAnsi" w:cstheme="majorHAnsi"/>
          <w:b/>
          <w:bCs/>
          <w:sz w:val="19"/>
          <w:szCs w:val="19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19"/>
          <w:szCs w:val="19"/>
          <w:u w:val="single"/>
        </w:rPr>
        <w:t>önce</w:t>
      </w:r>
      <w:proofErr w:type="spellEnd"/>
      <w:r>
        <w:rPr>
          <w:rFonts w:asciiTheme="majorHAnsi" w:hAnsiTheme="majorHAnsi" w:cstheme="majorHAnsi"/>
          <w:b/>
          <w:bCs/>
          <w:sz w:val="19"/>
          <w:szCs w:val="19"/>
          <w:u w:val="single"/>
        </w:rPr>
        <w:t xml:space="preserve"> </w:t>
      </w:r>
    </w:p>
    <w:p w14:paraId="09FB82E4" w14:textId="77777777" w:rsidR="0093406A" w:rsidRPr="000F7BEA" w:rsidRDefault="0093406A" w:rsidP="0093406A">
      <w:pPr>
        <w:pStyle w:val="ListParagraph"/>
        <w:numPr>
          <w:ilvl w:val="0"/>
          <w:numId w:val="28"/>
        </w:numPr>
        <w:spacing w:before="8" w:after="8" w:line="228" w:lineRule="auto"/>
        <w:rPr>
          <w:rFonts w:asciiTheme="majorHAnsi" w:hAnsiTheme="majorHAnsi" w:cstheme="majorHAnsi"/>
          <w:b/>
          <w:bCs/>
          <w:sz w:val="19"/>
          <w:szCs w:val="19"/>
          <w:u w:val="single"/>
        </w:rPr>
      </w:pPr>
      <w:r w:rsidRPr="000F7BEA">
        <w:rPr>
          <w:rFonts w:asciiTheme="majorHAnsi" w:hAnsiTheme="majorHAnsi" w:cstheme="majorHAnsi"/>
          <w:sz w:val="19"/>
          <w:szCs w:val="19"/>
        </w:rPr>
        <w:t>eGFR</w:t>
      </w:r>
      <w:r>
        <w:rPr>
          <w:rFonts w:asciiTheme="majorHAnsi" w:hAnsiTheme="majorHAnsi" w:cstheme="majorHAnsi"/>
          <w:sz w:val="19"/>
          <w:szCs w:val="19"/>
        </w:rPr>
        <w:t xml:space="preserve">, </w:t>
      </w:r>
      <w:proofErr w:type="spellStart"/>
      <w:r>
        <w:rPr>
          <w:rFonts w:asciiTheme="majorHAnsi" w:hAnsiTheme="majorHAnsi" w:cstheme="majorHAnsi"/>
          <w:sz w:val="19"/>
          <w:szCs w:val="19"/>
        </w:rPr>
        <w:t>kalsiyum</w:t>
      </w:r>
      <w:proofErr w:type="spellEnd"/>
      <w:r>
        <w:rPr>
          <w:rFonts w:asciiTheme="majorHAnsi" w:hAnsiTheme="majorHAnsi" w:cstheme="majorHAnsi"/>
          <w:sz w:val="19"/>
          <w:szCs w:val="19"/>
        </w:rPr>
        <w:t>,</w:t>
      </w:r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tiroid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fonksiyon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testleri</w:t>
      </w:r>
      <w:proofErr w:type="spellEnd"/>
      <w:r>
        <w:rPr>
          <w:rFonts w:asciiTheme="majorHAnsi" w:hAnsiTheme="majorHAnsi" w:cstheme="majorHAnsi"/>
          <w:sz w:val="19"/>
          <w:szCs w:val="19"/>
        </w:rPr>
        <w:t>,</w:t>
      </w:r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böbrek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fonksiyon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testi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ve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elektrolitler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istenmelidir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.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Kardiyak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hastalık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öyküsü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veya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risk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faktörleri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bulunanlarda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EKG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önerilir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.  </w:t>
      </w:r>
    </w:p>
    <w:p w14:paraId="10D913F6" w14:textId="77777777" w:rsidR="0093406A" w:rsidRDefault="0093406A" w:rsidP="0093406A">
      <w:pPr>
        <w:spacing w:before="8" w:after="8" w:line="228" w:lineRule="auto"/>
        <w:ind w:left="-284" w:hanging="283"/>
        <w:rPr>
          <w:rFonts w:asciiTheme="majorHAnsi" w:hAnsiTheme="majorHAnsi" w:cstheme="majorHAnsi"/>
          <w:b/>
          <w:bCs/>
          <w:sz w:val="19"/>
          <w:szCs w:val="19"/>
          <w:u w:val="single"/>
        </w:rPr>
      </w:pPr>
    </w:p>
    <w:p w14:paraId="72DF8182" w14:textId="77777777" w:rsidR="0093406A" w:rsidRDefault="0093406A" w:rsidP="0093406A">
      <w:pPr>
        <w:spacing w:before="8" w:after="8" w:line="228" w:lineRule="auto"/>
        <w:ind w:left="-284" w:hanging="283"/>
        <w:rPr>
          <w:rFonts w:asciiTheme="majorHAnsi" w:hAnsiTheme="majorHAnsi" w:cstheme="majorHAnsi"/>
          <w:b/>
          <w:bCs/>
          <w:sz w:val="19"/>
          <w:szCs w:val="19"/>
          <w:u w:val="single"/>
        </w:rPr>
      </w:pPr>
      <w:proofErr w:type="spellStart"/>
      <w:r>
        <w:rPr>
          <w:rFonts w:asciiTheme="majorHAnsi" w:hAnsiTheme="majorHAnsi" w:cstheme="majorHAnsi"/>
          <w:b/>
          <w:bCs/>
          <w:sz w:val="19"/>
          <w:szCs w:val="19"/>
          <w:u w:val="single"/>
        </w:rPr>
        <w:t>Başlarken</w:t>
      </w:r>
      <w:proofErr w:type="spellEnd"/>
    </w:p>
    <w:p w14:paraId="03783A76" w14:textId="77777777" w:rsidR="0093406A" w:rsidRPr="000F7BEA" w:rsidRDefault="0093406A" w:rsidP="0093406A">
      <w:pPr>
        <w:pStyle w:val="ListParagraph"/>
        <w:numPr>
          <w:ilvl w:val="0"/>
          <w:numId w:val="28"/>
        </w:numPr>
        <w:spacing w:before="8" w:after="8" w:line="228" w:lineRule="auto"/>
        <w:rPr>
          <w:rFonts w:asciiTheme="majorHAnsi" w:hAnsiTheme="majorHAnsi" w:cstheme="majorHAnsi"/>
          <w:b/>
          <w:bCs/>
          <w:sz w:val="19"/>
          <w:szCs w:val="19"/>
          <w:u w:val="single"/>
        </w:rPr>
      </w:pPr>
      <w:proofErr w:type="spellStart"/>
      <w:r w:rsidRPr="000F7BEA">
        <w:rPr>
          <w:rFonts w:asciiTheme="majorHAnsi" w:hAnsiTheme="majorHAnsi" w:cstheme="majorHAnsi"/>
          <w:sz w:val="19"/>
          <w:szCs w:val="19"/>
        </w:rPr>
        <w:t>Lityum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baş</w:t>
      </w:r>
      <w:r>
        <w:rPr>
          <w:rFonts w:asciiTheme="majorHAnsi" w:hAnsiTheme="majorHAnsi" w:cstheme="majorHAnsi"/>
          <w:sz w:val="19"/>
          <w:szCs w:val="19"/>
        </w:rPr>
        <w:t>larken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ve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plazma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seviyesi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ve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klinik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etkiler</w:t>
      </w:r>
      <w:r w:rsidRPr="000F7BEA">
        <w:rPr>
          <w:rFonts w:asciiTheme="majorHAnsi" w:hAnsiTheme="majorHAnsi" w:cstheme="majorHAnsi"/>
          <w:sz w:val="19"/>
          <w:szCs w:val="19"/>
        </w:rPr>
        <w:t>e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göre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doz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ayarlaması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yaparken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standart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A27EEF">
        <w:rPr>
          <w:rFonts w:asciiTheme="majorHAnsi" w:hAnsiTheme="majorHAnsi" w:cstheme="majorHAnsi"/>
          <w:sz w:val="19"/>
          <w:szCs w:val="19"/>
        </w:rPr>
        <w:t>önerilere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(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kullanılan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preparata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göre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değişkenlik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gösterebilir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)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uyun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. </w:t>
      </w:r>
    </w:p>
    <w:p w14:paraId="36677970" w14:textId="77777777" w:rsidR="0093406A" w:rsidRPr="000F7BEA" w:rsidRDefault="0093406A" w:rsidP="0093406A">
      <w:pPr>
        <w:pStyle w:val="ListParagraph"/>
        <w:numPr>
          <w:ilvl w:val="0"/>
          <w:numId w:val="28"/>
        </w:numPr>
        <w:spacing w:before="8" w:after="8" w:line="228" w:lineRule="auto"/>
        <w:rPr>
          <w:rFonts w:asciiTheme="majorHAnsi" w:hAnsiTheme="majorHAnsi" w:cstheme="majorHAnsi"/>
          <w:b/>
          <w:bCs/>
          <w:sz w:val="19"/>
          <w:szCs w:val="19"/>
          <w:u w:val="single"/>
        </w:rPr>
      </w:pPr>
      <w:proofErr w:type="spellStart"/>
      <w:r w:rsidRPr="000F7BEA">
        <w:rPr>
          <w:rFonts w:asciiTheme="majorHAnsi" w:hAnsiTheme="majorHAnsi" w:cstheme="majorHAnsi"/>
          <w:sz w:val="19"/>
          <w:szCs w:val="19"/>
        </w:rPr>
        <w:t>Başlanmasından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ve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her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doz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değişikliğinden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bir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hafta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sonra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lityum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seviyesini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(son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dozdan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12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saat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sonra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)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kontrol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edin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. </w:t>
      </w:r>
    </w:p>
    <w:p w14:paraId="3AAA9CD9" w14:textId="77777777" w:rsidR="0093406A" w:rsidRPr="000F7BEA" w:rsidRDefault="0093406A" w:rsidP="0093406A">
      <w:pPr>
        <w:pStyle w:val="ListParagraph"/>
        <w:numPr>
          <w:ilvl w:val="0"/>
          <w:numId w:val="28"/>
        </w:numPr>
        <w:spacing w:before="8" w:after="8" w:line="228" w:lineRule="auto"/>
        <w:rPr>
          <w:rFonts w:asciiTheme="majorHAnsi" w:hAnsiTheme="majorHAnsi" w:cstheme="majorHAnsi"/>
          <w:b/>
          <w:bCs/>
          <w:sz w:val="19"/>
          <w:szCs w:val="19"/>
          <w:u w:val="single"/>
        </w:rPr>
      </w:pPr>
      <w:r w:rsidRPr="000F7BEA">
        <w:rPr>
          <w:rFonts w:asciiTheme="majorHAnsi" w:hAnsiTheme="majorHAnsi" w:cstheme="majorHAnsi"/>
          <w:sz w:val="19"/>
          <w:szCs w:val="19"/>
        </w:rPr>
        <w:t xml:space="preserve">Stabil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olana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kadar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ilaç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seviyesini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haftalık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olarak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izleyin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. </w:t>
      </w:r>
    </w:p>
    <w:p w14:paraId="3E4FFE88" w14:textId="77777777" w:rsidR="0093406A" w:rsidRPr="000F7BEA" w:rsidRDefault="0093406A" w:rsidP="0093406A">
      <w:pPr>
        <w:pStyle w:val="ListParagraph"/>
        <w:numPr>
          <w:ilvl w:val="0"/>
          <w:numId w:val="28"/>
        </w:numPr>
        <w:spacing w:before="8" w:after="8" w:line="228" w:lineRule="auto"/>
        <w:rPr>
          <w:rFonts w:asciiTheme="majorHAnsi" w:hAnsiTheme="majorHAnsi" w:cstheme="majorHAnsi"/>
          <w:b/>
          <w:bCs/>
          <w:sz w:val="19"/>
          <w:szCs w:val="19"/>
          <w:u w:val="single"/>
        </w:rPr>
      </w:pPr>
      <w:proofErr w:type="spellStart"/>
      <w:r w:rsidRPr="000F7BEA">
        <w:rPr>
          <w:rFonts w:asciiTheme="majorHAnsi" w:hAnsiTheme="majorHAnsi" w:cstheme="majorHAnsi"/>
          <w:sz w:val="19"/>
          <w:szCs w:val="19"/>
        </w:rPr>
        <w:t>Sonrasinda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ilk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sene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boyunca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üç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ayda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bir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olacak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şekilde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ilaç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seviye</w:t>
      </w:r>
      <w:r>
        <w:rPr>
          <w:rFonts w:asciiTheme="majorHAnsi" w:hAnsiTheme="majorHAnsi" w:cstheme="majorHAnsi"/>
          <w:sz w:val="19"/>
          <w:szCs w:val="19"/>
        </w:rPr>
        <w:t>si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izlemine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devam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0F7BEA">
        <w:rPr>
          <w:rFonts w:asciiTheme="majorHAnsi" w:hAnsiTheme="majorHAnsi" w:cstheme="majorHAnsi"/>
          <w:sz w:val="19"/>
          <w:szCs w:val="19"/>
        </w:rPr>
        <w:t>edin</w:t>
      </w:r>
      <w:proofErr w:type="spellEnd"/>
      <w:r w:rsidRPr="000F7BEA">
        <w:rPr>
          <w:rFonts w:asciiTheme="majorHAnsi" w:hAnsiTheme="majorHAnsi" w:cstheme="majorHAnsi"/>
          <w:sz w:val="19"/>
          <w:szCs w:val="19"/>
        </w:rPr>
        <w:t>.</w:t>
      </w:r>
    </w:p>
    <w:p w14:paraId="1DE48F1C" w14:textId="77777777" w:rsidR="0093406A" w:rsidRPr="004D380F" w:rsidRDefault="0093406A" w:rsidP="0093406A">
      <w:pPr>
        <w:spacing w:before="8" w:after="8" w:line="228" w:lineRule="auto"/>
        <w:ind w:left="-284" w:hanging="283"/>
        <w:rPr>
          <w:rFonts w:asciiTheme="majorHAnsi" w:hAnsiTheme="majorHAnsi" w:cstheme="majorHAnsi"/>
          <w:sz w:val="19"/>
          <w:szCs w:val="19"/>
        </w:rPr>
      </w:pPr>
    </w:p>
    <w:p w14:paraId="6452E7A2" w14:textId="77777777" w:rsidR="0093406A" w:rsidRPr="004D380F" w:rsidRDefault="0093406A" w:rsidP="0093406A">
      <w:pPr>
        <w:spacing w:before="8" w:after="8" w:line="228" w:lineRule="auto"/>
        <w:ind w:left="-284" w:hanging="283"/>
        <w:rPr>
          <w:rFonts w:asciiTheme="majorHAnsi" w:hAnsiTheme="majorHAnsi" w:cstheme="majorHAnsi"/>
          <w:b/>
          <w:bCs/>
          <w:sz w:val="19"/>
          <w:szCs w:val="19"/>
          <w:u w:val="single"/>
        </w:rPr>
      </w:pPr>
      <w:proofErr w:type="spellStart"/>
      <w:r>
        <w:rPr>
          <w:rFonts w:asciiTheme="majorHAnsi" w:hAnsiTheme="majorHAnsi" w:cstheme="majorHAnsi"/>
          <w:b/>
          <w:bCs/>
          <w:sz w:val="19"/>
          <w:szCs w:val="19"/>
          <w:u w:val="single"/>
        </w:rPr>
        <w:t>İdamede</w:t>
      </w:r>
      <w:proofErr w:type="spellEnd"/>
    </w:p>
    <w:p w14:paraId="5B8D101C" w14:textId="77777777" w:rsidR="0093406A" w:rsidRPr="004D380F" w:rsidRDefault="0093406A" w:rsidP="0093406A">
      <w:pPr>
        <w:numPr>
          <w:ilvl w:val="0"/>
          <w:numId w:val="9"/>
        </w:numPr>
        <w:spacing w:before="8" w:after="8" w:line="228" w:lineRule="auto"/>
        <w:ind w:left="-142" w:hanging="284"/>
        <w:rPr>
          <w:rFonts w:asciiTheme="majorHAnsi" w:hAnsiTheme="majorHAnsi" w:cstheme="majorHAnsi"/>
          <w:sz w:val="19"/>
          <w:szCs w:val="19"/>
        </w:rPr>
      </w:pPr>
      <w:proofErr w:type="spellStart"/>
      <w:r>
        <w:rPr>
          <w:rFonts w:asciiTheme="majorHAnsi" w:hAnsiTheme="majorHAnsi" w:cstheme="majorHAnsi"/>
          <w:sz w:val="19"/>
          <w:szCs w:val="19"/>
        </w:rPr>
        <w:t>Birinci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yıldan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sonra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, </w:t>
      </w:r>
      <w:proofErr w:type="spellStart"/>
      <w:r>
        <w:rPr>
          <w:rFonts w:asciiTheme="majorHAnsi" w:hAnsiTheme="majorHAnsi" w:cstheme="majorHAnsi"/>
          <w:sz w:val="19"/>
          <w:szCs w:val="19"/>
        </w:rPr>
        <w:t>plazma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lityum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seviyesini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, </w:t>
      </w:r>
      <w:proofErr w:type="spellStart"/>
      <w:r>
        <w:rPr>
          <w:rFonts w:asciiTheme="majorHAnsi" w:hAnsiTheme="majorHAnsi" w:cstheme="majorHAnsi"/>
          <w:sz w:val="19"/>
          <w:szCs w:val="19"/>
        </w:rPr>
        <w:t>aşağıda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belirtilen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ve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3 </w:t>
      </w:r>
      <w:proofErr w:type="spellStart"/>
      <w:r>
        <w:rPr>
          <w:rFonts w:asciiTheme="majorHAnsi" w:hAnsiTheme="majorHAnsi" w:cstheme="majorHAnsi"/>
          <w:sz w:val="19"/>
          <w:szCs w:val="19"/>
        </w:rPr>
        <w:t>aylık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takipler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önerilen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riskli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gruplar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dışında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, 6 </w:t>
      </w:r>
      <w:proofErr w:type="spellStart"/>
      <w:r>
        <w:rPr>
          <w:rFonts w:asciiTheme="majorHAnsi" w:hAnsiTheme="majorHAnsi" w:cstheme="majorHAnsi"/>
          <w:sz w:val="19"/>
          <w:szCs w:val="19"/>
        </w:rPr>
        <w:t>ayda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bir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olacak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şekilde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izleyin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:    </w:t>
      </w:r>
    </w:p>
    <w:p w14:paraId="4DAFEF58" w14:textId="77777777" w:rsidR="0093406A" w:rsidRPr="004D380F" w:rsidRDefault="0093406A" w:rsidP="0093406A">
      <w:pPr>
        <w:numPr>
          <w:ilvl w:val="1"/>
          <w:numId w:val="8"/>
        </w:numPr>
        <w:spacing w:before="8" w:after="8" w:line="228" w:lineRule="auto"/>
        <w:ind w:left="426" w:hanging="284"/>
        <w:rPr>
          <w:rFonts w:asciiTheme="majorHAnsi" w:hAnsiTheme="majorHAnsi" w:cstheme="majorHAnsi"/>
          <w:sz w:val="19"/>
          <w:szCs w:val="19"/>
        </w:rPr>
      </w:pPr>
      <w:proofErr w:type="spellStart"/>
      <w:r>
        <w:rPr>
          <w:rFonts w:asciiTheme="majorHAnsi" w:hAnsiTheme="majorHAnsi" w:cstheme="majorHAnsi"/>
          <w:sz w:val="19"/>
          <w:szCs w:val="19"/>
        </w:rPr>
        <w:t>Yaşlılarda</w:t>
      </w:r>
      <w:proofErr w:type="spellEnd"/>
    </w:p>
    <w:p w14:paraId="717DCF65" w14:textId="77777777" w:rsidR="0093406A" w:rsidRPr="004D380F" w:rsidRDefault="0093406A" w:rsidP="0093406A">
      <w:pPr>
        <w:numPr>
          <w:ilvl w:val="1"/>
          <w:numId w:val="8"/>
        </w:numPr>
        <w:spacing w:before="8" w:after="8" w:line="228" w:lineRule="auto"/>
        <w:ind w:left="426" w:hanging="284"/>
        <w:rPr>
          <w:rFonts w:asciiTheme="majorHAnsi" w:hAnsiTheme="majorHAnsi" w:cstheme="majorHAnsi"/>
          <w:sz w:val="19"/>
          <w:szCs w:val="19"/>
        </w:rPr>
      </w:pPr>
      <w:proofErr w:type="spellStart"/>
      <w:r>
        <w:rPr>
          <w:rFonts w:asciiTheme="majorHAnsi" w:hAnsiTheme="majorHAnsi" w:cstheme="majorHAnsi"/>
          <w:sz w:val="19"/>
          <w:szCs w:val="19"/>
        </w:rPr>
        <w:t>Lityumla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etkileşen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ilaçların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(</w:t>
      </w:r>
      <w:proofErr w:type="spellStart"/>
      <w:r>
        <w:rPr>
          <w:rFonts w:asciiTheme="majorHAnsi" w:hAnsiTheme="majorHAnsi" w:cstheme="majorHAnsi"/>
          <w:sz w:val="19"/>
          <w:szCs w:val="19"/>
        </w:rPr>
        <w:t>örneğin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NSAİİ, ACE </w:t>
      </w:r>
      <w:proofErr w:type="spellStart"/>
      <w:r>
        <w:rPr>
          <w:rFonts w:asciiTheme="majorHAnsi" w:hAnsiTheme="majorHAnsi" w:cstheme="majorHAnsi"/>
          <w:sz w:val="19"/>
          <w:szCs w:val="19"/>
        </w:rPr>
        <w:t>inhibitörleri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, </w:t>
      </w:r>
      <w:proofErr w:type="spellStart"/>
      <w:r>
        <w:rPr>
          <w:rFonts w:asciiTheme="majorHAnsi" w:hAnsiTheme="majorHAnsi" w:cstheme="majorHAnsi"/>
          <w:sz w:val="19"/>
          <w:szCs w:val="19"/>
        </w:rPr>
        <w:t>Anjitensin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reseptör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blokörleri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, </w:t>
      </w:r>
      <w:proofErr w:type="spellStart"/>
      <w:r>
        <w:rPr>
          <w:rFonts w:asciiTheme="majorHAnsi" w:hAnsiTheme="majorHAnsi" w:cstheme="majorHAnsi"/>
          <w:sz w:val="19"/>
          <w:szCs w:val="19"/>
        </w:rPr>
        <w:t>diüretikler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) </w:t>
      </w:r>
      <w:proofErr w:type="spellStart"/>
      <w:r>
        <w:rPr>
          <w:rFonts w:asciiTheme="majorHAnsi" w:hAnsiTheme="majorHAnsi" w:cstheme="majorHAnsi"/>
          <w:sz w:val="19"/>
          <w:szCs w:val="19"/>
        </w:rPr>
        <w:t>başlandığı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veya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kesildiği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hastalarda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</w:p>
    <w:p w14:paraId="028A3A06" w14:textId="77777777" w:rsidR="0093406A" w:rsidRPr="004D380F" w:rsidRDefault="0093406A" w:rsidP="0093406A">
      <w:pPr>
        <w:numPr>
          <w:ilvl w:val="1"/>
          <w:numId w:val="8"/>
        </w:numPr>
        <w:spacing w:before="8" w:after="8" w:line="228" w:lineRule="auto"/>
        <w:ind w:left="426" w:hanging="284"/>
        <w:rPr>
          <w:rFonts w:asciiTheme="majorHAnsi" w:hAnsiTheme="majorHAnsi" w:cstheme="majorHAnsi"/>
          <w:sz w:val="19"/>
          <w:szCs w:val="19"/>
        </w:rPr>
      </w:pPr>
      <w:proofErr w:type="spellStart"/>
      <w:r>
        <w:rPr>
          <w:rFonts w:asciiTheme="majorHAnsi" w:hAnsiTheme="majorHAnsi" w:cstheme="majorHAnsi"/>
          <w:sz w:val="19"/>
          <w:szCs w:val="19"/>
        </w:rPr>
        <w:t>Bilinen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kronik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böbrek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hastalığı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olanlarda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</w:p>
    <w:p w14:paraId="0BE0B40D" w14:textId="77777777" w:rsidR="0093406A" w:rsidRPr="004D380F" w:rsidRDefault="0093406A" w:rsidP="0093406A">
      <w:pPr>
        <w:numPr>
          <w:ilvl w:val="1"/>
          <w:numId w:val="8"/>
        </w:numPr>
        <w:spacing w:before="8" w:after="8" w:line="228" w:lineRule="auto"/>
        <w:ind w:left="426" w:hanging="284"/>
        <w:rPr>
          <w:rFonts w:asciiTheme="majorHAnsi" w:hAnsiTheme="majorHAnsi" w:cstheme="majorHAnsi"/>
          <w:sz w:val="19"/>
          <w:szCs w:val="19"/>
        </w:rPr>
      </w:pPr>
      <w:proofErr w:type="spellStart"/>
      <w:r>
        <w:rPr>
          <w:rFonts w:asciiTheme="majorHAnsi" w:hAnsiTheme="majorHAnsi" w:cstheme="majorHAnsi"/>
          <w:sz w:val="19"/>
          <w:szCs w:val="19"/>
        </w:rPr>
        <w:t>Bozulmuş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tiroid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fonksiyonuna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dair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kanıt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olan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hastalarda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</w:p>
    <w:p w14:paraId="46680F39" w14:textId="6AF455FF" w:rsidR="0093406A" w:rsidRPr="004D380F" w:rsidRDefault="00295DB3" w:rsidP="0093406A">
      <w:pPr>
        <w:numPr>
          <w:ilvl w:val="1"/>
          <w:numId w:val="8"/>
        </w:numPr>
        <w:spacing w:before="8" w:after="8" w:line="228" w:lineRule="auto"/>
        <w:ind w:left="426" w:hanging="284"/>
        <w:rPr>
          <w:rFonts w:asciiTheme="majorHAnsi" w:hAnsiTheme="majorHAnsi" w:cstheme="majorHAnsi"/>
          <w:sz w:val="19"/>
          <w:szCs w:val="19"/>
        </w:rPr>
      </w:pPr>
      <w:proofErr w:type="spellStart"/>
      <w:r>
        <w:rPr>
          <w:rFonts w:asciiTheme="majorHAnsi" w:hAnsiTheme="majorHAnsi" w:cstheme="majorHAnsi"/>
          <w:sz w:val="19"/>
          <w:szCs w:val="19"/>
        </w:rPr>
        <w:t>K</w:t>
      </w:r>
      <w:r w:rsidR="0093406A">
        <w:rPr>
          <w:rFonts w:asciiTheme="majorHAnsi" w:hAnsiTheme="majorHAnsi" w:cstheme="majorHAnsi"/>
          <w:sz w:val="19"/>
          <w:szCs w:val="19"/>
        </w:rPr>
        <w:t>alsiyum</w:t>
      </w:r>
      <w:proofErr w:type="spellEnd"/>
      <w:r w:rsidR="0093406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="0093406A">
        <w:rPr>
          <w:rFonts w:asciiTheme="majorHAnsi" w:hAnsiTheme="majorHAnsi" w:cstheme="majorHAnsi"/>
          <w:sz w:val="19"/>
          <w:szCs w:val="19"/>
        </w:rPr>
        <w:t>seviyesi</w:t>
      </w:r>
      <w:proofErr w:type="spellEnd"/>
      <w:r w:rsidR="0093406A">
        <w:rPr>
          <w:rFonts w:asciiTheme="majorHAnsi" w:hAnsiTheme="majorHAnsi" w:cstheme="majorHAnsi"/>
          <w:sz w:val="19"/>
          <w:szCs w:val="19"/>
        </w:rPr>
        <w:t xml:space="preserve"> </w:t>
      </w:r>
      <w:r>
        <w:rPr>
          <w:rFonts w:asciiTheme="majorHAnsi" w:hAnsiTheme="majorHAnsi" w:cstheme="majorHAnsi"/>
          <w:sz w:val="19"/>
          <w:szCs w:val="19"/>
        </w:rPr>
        <w:t>y</w:t>
      </w:r>
      <w:proofErr w:type="spellStart"/>
      <w:r>
        <w:rPr>
          <w:rFonts w:asciiTheme="majorHAnsi" w:hAnsiTheme="majorHAnsi" w:cstheme="majorHAnsi"/>
          <w:sz w:val="19"/>
          <w:szCs w:val="19"/>
          <w:lang w:val="tr-TR"/>
        </w:rPr>
        <w:t>üksek</w:t>
      </w:r>
      <w:proofErr w:type="spellEnd"/>
      <w:r>
        <w:rPr>
          <w:rFonts w:asciiTheme="majorHAnsi" w:hAnsiTheme="majorHAnsi" w:cstheme="majorHAnsi"/>
          <w:sz w:val="19"/>
          <w:szCs w:val="19"/>
          <w:lang w:val="tr-TR"/>
        </w:rPr>
        <w:t xml:space="preserve"> </w:t>
      </w:r>
      <w:proofErr w:type="spellStart"/>
      <w:r w:rsidR="0093406A">
        <w:rPr>
          <w:rFonts w:asciiTheme="majorHAnsi" w:hAnsiTheme="majorHAnsi" w:cstheme="majorHAnsi"/>
          <w:sz w:val="19"/>
          <w:szCs w:val="19"/>
        </w:rPr>
        <w:t>olan</w:t>
      </w:r>
      <w:proofErr w:type="spellEnd"/>
      <w:r w:rsidR="0093406A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="0093406A">
        <w:rPr>
          <w:rFonts w:asciiTheme="majorHAnsi" w:hAnsiTheme="majorHAnsi" w:cstheme="majorHAnsi"/>
          <w:sz w:val="19"/>
          <w:szCs w:val="19"/>
        </w:rPr>
        <w:t>hastalarda</w:t>
      </w:r>
      <w:proofErr w:type="spellEnd"/>
      <w:r w:rsidR="0093406A">
        <w:rPr>
          <w:rFonts w:asciiTheme="majorHAnsi" w:hAnsiTheme="majorHAnsi" w:cstheme="majorHAnsi"/>
          <w:sz w:val="19"/>
          <w:szCs w:val="19"/>
        </w:rPr>
        <w:t xml:space="preserve"> </w:t>
      </w:r>
    </w:p>
    <w:p w14:paraId="211CC688" w14:textId="77777777" w:rsidR="0093406A" w:rsidRPr="004D380F" w:rsidRDefault="0093406A" w:rsidP="0093406A">
      <w:pPr>
        <w:numPr>
          <w:ilvl w:val="1"/>
          <w:numId w:val="8"/>
        </w:numPr>
        <w:spacing w:before="8" w:after="8" w:line="228" w:lineRule="auto"/>
        <w:ind w:left="426" w:hanging="284"/>
        <w:rPr>
          <w:rFonts w:asciiTheme="majorHAnsi" w:hAnsiTheme="majorHAnsi" w:cstheme="majorHAnsi"/>
          <w:sz w:val="19"/>
          <w:szCs w:val="19"/>
        </w:rPr>
      </w:pPr>
      <w:proofErr w:type="spellStart"/>
      <w:r>
        <w:rPr>
          <w:rFonts w:asciiTheme="majorHAnsi" w:hAnsiTheme="majorHAnsi" w:cstheme="majorHAnsi"/>
          <w:sz w:val="19"/>
          <w:szCs w:val="19"/>
        </w:rPr>
        <w:t>Semptom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kontrolü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başarısız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olan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hastalarda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</w:p>
    <w:p w14:paraId="67F908E0" w14:textId="77777777" w:rsidR="0093406A" w:rsidRPr="004D380F" w:rsidRDefault="0093406A" w:rsidP="0093406A">
      <w:pPr>
        <w:numPr>
          <w:ilvl w:val="1"/>
          <w:numId w:val="8"/>
        </w:numPr>
        <w:spacing w:before="8" w:after="8" w:line="228" w:lineRule="auto"/>
        <w:ind w:left="426" w:hanging="284"/>
        <w:rPr>
          <w:rFonts w:asciiTheme="majorHAnsi" w:hAnsiTheme="majorHAnsi" w:cstheme="majorHAnsi"/>
          <w:sz w:val="19"/>
          <w:szCs w:val="19"/>
        </w:rPr>
      </w:pPr>
      <w:proofErr w:type="spellStart"/>
      <w:r>
        <w:rPr>
          <w:rFonts w:asciiTheme="majorHAnsi" w:hAnsiTheme="majorHAnsi" w:cstheme="majorHAnsi"/>
          <w:sz w:val="19"/>
          <w:szCs w:val="19"/>
        </w:rPr>
        <w:t>İlaç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uyumu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zayıf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olan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hastalarda</w:t>
      </w:r>
      <w:proofErr w:type="spellEnd"/>
    </w:p>
    <w:p w14:paraId="0D33789B" w14:textId="57D65F6D" w:rsidR="006D31DC" w:rsidRPr="004D380F" w:rsidRDefault="0093406A" w:rsidP="0093406A">
      <w:pPr>
        <w:numPr>
          <w:ilvl w:val="1"/>
          <w:numId w:val="8"/>
        </w:numPr>
        <w:spacing w:before="8" w:after="8" w:line="228" w:lineRule="auto"/>
        <w:ind w:left="426" w:hanging="284"/>
        <w:rPr>
          <w:rFonts w:asciiTheme="majorHAnsi" w:hAnsiTheme="majorHAnsi" w:cstheme="majorHAnsi"/>
          <w:sz w:val="19"/>
          <w:szCs w:val="19"/>
        </w:rPr>
      </w:pPr>
      <w:proofErr w:type="spellStart"/>
      <w:r>
        <w:rPr>
          <w:rFonts w:asciiTheme="majorHAnsi" w:hAnsiTheme="majorHAnsi" w:cstheme="majorHAnsi"/>
          <w:sz w:val="19"/>
          <w:szCs w:val="19"/>
        </w:rPr>
        <w:t>Lityum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seviyesi</w:t>
      </w:r>
      <w:proofErr w:type="spellEnd"/>
      <w:r w:rsidRPr="004D380F">
        <w:rPr>
          <w:rFonts w:asciiTheme="majorHAnsi" w:hAnsiTheme="majorHAnsi" w:cstheme="majorHAnsi"/>
          <w:sz w:val="19"/>
          <w:szCs w:val="19"/>
        </w:rPr>
        <w:t xml:space="preserve"> &gt; 0.8mmol/L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olan</w:t>
      </w:r>
      <w:proofErr w:type="spellEnd"/>
      <w:r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 w:val="19"/>
          <w:szCs w:val="19"/>
        </w:rPr>
        <w:t>hastalarda</w:t>
      </w:r>
      <w:proofErr w:type="spellEnd"/>
      <w:r>
        <w:rPr>
          <w:rFonts w:asciiTheme="majorHAnsi" w:hAnsiTheme="majorHAnsi" w:cstheme="majorHAnsi"/>
          <w:sz w:val="19"/>
          <w:szCs w:val="19"/>
        </w:rPr>
        <w:t>.</w:t>
      </w:r>
    </w:p>
    <w:sectPr w:rsidR="006D31DC" w:rsidRPr="004D380F" w:rsidSect="00C134AF">
      <w:footerReference w:type="even" r:id="rId48"/>
      <w:footerReference w:type="default" r:id="rId49"/>
      <w:pgSz w:w="16838" w:h="11906" w:orient="landscape"/>
      <w:pgMar w:top="720" w:right="1440" w:bottom="7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1EE6E" w14:textId="77777777" w:rsidR="00FF3CD1" w:rsidRDefault="00FF3CD1" w:rsidP="005414C1">
      <w:pPr>
        <w:spacing w:after="0" w:line="240" w:lineRule="auto"/>
      </w:pPr>
      <w:r>
        <w:separator/>
      </w:r>
    </w:p>
  </w:endnote>
  <w:endnote w:type="continuationSeparator" w:id="0">
    <w:p w14:paraId="16FEDF90" w14:textId="77777777" w:rsidR="00FF3CD1" w:rsidRDefault="00FF3CD1" w:rsidP="0054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50440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82B7AA" w14:textId="3919580B" w:rsidR="007975F4" w:rsidRDefault="007975F4" w:rsidP="007975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88DC92" w14:textId="77777777" w:rsidR="007975F4" w:rsidRDefault="007975F4" w:rsidP="009E55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048859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5E9BA3" w14:textId="5472B0A7" w:rsidR="007975F4" w:rsidRDefault="007975F4" w:rsidP="007975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1A3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43946D2" w14:textId="77777777" w:rsidR="007975F4" w:rsidRDefault="007975F4" w:rsidP="009E55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AAF6C" w14:textId="77777777" w:rsidR="00FF3CD1" w:rsidRDefault="00FF3CD1" w:rsidP="005414C1">
      <w:pPr>
        <w:spacing w:after="0" w:line="240" w:lineRule="auto"/>
      </w:pPr>
      <w:r>
        <w:separator/>
      </w:r>
    </w:p>
  </w:footnote>
  <w:footnote w:type="continuationSeparator" w:id="0">
    <w:p w14:paraId="674A1680" w14:textId="77777777" w:rsidR="00FF3CD1" w:rsidRDefault="00FF3CD1" w:rsidP="0054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3BA2"/>
    <w:multiLevelType w:val="hybridMultilevel"/>
    <w:tmpl w:val="B9BC0DC4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C0013A"/>
    <w:multiLevelType w:val="hybridMultilevel"/>
    <w:tmpl w:val="3E9EB2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2E1B92"/>
    <w:multiLevelType w:val="multilevel"/>
    <w:tmpl w:val="2FA414D2"/>
    <w:lvl w:ilvl="0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E57878"/>
    <w:multiLevelType w:val="hybridMultilevel"/>
    <w:tmpl w:val="6984448E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1030FE"/>
    <w:multiLevelType w:val="hybridMultilevel"/>
    <w:tmpl w:val="5E6AA1D0"/>
    <w:lvl w:ilvl="0" w:tplc="6B8C749C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4D0425"/>
    <w:multiLevelType w:val="hybridMultilevel"/>
    <w:tmpl w:val="4314D132"/>
    <w:lvl w:ilvl="0" w:tplc="88B058D6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D51BCC"/>
    <w:multiLevelType w:val="hybridMultilevel"/>
    <w:tmpl w:val="25EC2D82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783477"/>
    <w:multiLevelType w:val="hybridMultilevel"/>
    <w:tmpl w:val="0338D9CC"/>
    <w:lvl w:ilvl="0" w:tplc="DDF461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A68DB"/>
    <w:multiLevelType w:val="hybridMultilevel"/>
    <w:tmpl w:val="CCD6D866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6B8C749C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622E29"/>
    <w:multiLevelType w:val="multilevel"/>
    <w:tmpl w:val="B9BC0DC4"/>
    <w:lvl w:ilvl="0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F72097"/>
    <w:multiLevelType w:val="hybridMultilevel"/>
    <w:tmpl w:val="0DB2E7F4"/>
    <w:lvl w:ilvl="0" w:tplc="6B8C749C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5F2052"/>
    <w:multiLevelType w:val="hybridMultilevel"/>
    <w:tmpl w:val="2954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4C1DAF"/>
    <w:multiLevelType w:val="hybridMultilevel"/>
    <w:tmpl w:val="E7AC46E4"/>
    <w:lvl w:ilvl="0" w:tplc="EB06E840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B24C18"/>
    <w:multiLevelType w:val="hybridMultilevel"/>
    <w:tmpl w:val="01A46236"/>
    <w:lvl w:ilvl="0" w:tplc="EB06E840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A2732F"/>
    <w:multiLevelType w:val="hybridMultilevel"/>
    <w:tmpl w:val="905A6D7A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C82BB6"/>
    <w:multiLevelType w:val="hybridMultilevel"/>
    <w:tmpl w:val="2F4E260A"/>
    <w:lvl w:ilvl="0" w:tplc="6B8C749C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6E254D"/>
    <w:multiLevelType w:val="hybridMultilevel"/>
    <w:tmpl w:val="50868996"/>
    <w:lvl w:ilvl="0" w:tplc="88B058D6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F86814"/>
    <w:multiLevelType w:val="hybridMultilevel"/>
    <w:tmpl w:val="2B5603EC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092427"/>
    <w:multiLevelType w:val="hybridMultilevel"/>
    <w:tmpl w:val="40383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99D1AA8"/>
    <w:multiLevelType w:val="multilevel"/>
    <w:tmpl w:val="C846D3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CC65166"/>
    <w:multiLevelType w:val="hybridMultilevel"/>
    <w:tmpl w:val="73E82C2E"/>
    <w:lvl w:ilvl="0" w:tplc="6B8C749C">
      <w:start w:val="1"/>
      <w:numFmt w:val="bullet"/>
      <w:lvlText w:val="•"/>
      <w:lvlJc w:val="left"/>
      <w:pPr>
        <w:ind w:left="153" w:hanging="360"/>
      </w:pPr>
      <w:rPr>
        <w:rFonts w:ascii="Calibri Light" w:hAnsi="Calibri Light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60A85C17"/>
    <w:multiLevelType w:val="hybridMultilevel"/>
    <w:tmpl w:val="74B010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6156AA"/>
    <w:multiLevelType w:val="hybridMultilevel"/>
    <w:tmpl w:val="252C7A8A"/>
    <w:lvl w:ilvl="0" w:tplc="6B8C749C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7C59F0"/>
    <w:multiLevelType w:val="hybridMultilevel"/>
    <w:tmpl w:val="2FA414D2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B3B0ADC"/>
    <w:multiLevelType w:val="hybridMultilevel"/>
    <w:tmpl w:val="9368A6D0"/>
    <w:lvl w:ilvl="0" w:tplc="88B058D6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FC1129E"/>
    <w:multiLevelType w:val="hybridMultilevel"/>
    <w:tmpl w:val="DE46D540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8E424EA"/>
    <w:multiLevelType w:val="hybridMultilevel"/>
    <w:tmpl w:val="C04CBEEA"/>
    <w:lvl w:ilvl="0" w:tplc="AA621092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D02A33"/>
    <w:multiLevelType w:val="hybridMultilevel"/>
    <w:tmpl w:val="3F422F4A"/>
    <w:lvl w:ilvl="0" w:tplc="26340A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14"/>
  </w:num>
  <w:num w:numId="9">
    <w:abstractNumId w:val="12"/>
  </w:num>
  <w:num w:numId="10">
    <w:abstractNumId w:val="3"/>
  </w:num>
  <w:num w:numId="11">
    <w:abstractNumId w:val="7"/>
  </w:num>
  <w:num w:numId="12">
    <w:abstractNumId w:val="25"/>
  </w:num>
  <w:num w:numId="13">
    <w:abstractNumId w:val="17"/>
  </w:num>
  <w:num w:numId="14">
    <w:abstractNumId w:val="6"/>
  </w:num>
  <w:num w:numId="15">
    <w:abstractNumId w:val="13"/>
  </w:num>
  <w:num w:numId="16">
    <w:abstractNumId w:val="15"/>
  </w:num>
  <w:num w:numId="17">
    <w:abstractNumId w:val="27"/>
  </w:num>
  <w:num w:numId="18">
    <w:abstractNumId w:val="23"/>
  </w:num>
  <w:num w:numId="19">
    <w:abstractNumId w:val="22"/>
  </w:num>
  <w:num w:numId="20">
    <w:abstractNumId w:val="16"/>
  </w:num>
  <w:num w:numId="21">
    <w:abstractNumId w:val="24"/>
  </w:num>
  <w:num w:numId="22">
    <w:abstractNumId w:val="5"/>
  </w:num>
  <w:num w:numId="23">
    <w:abstractNumId w:val="2"/>
  </w:num>
  <w:num w:numId="24">
    <w:abstractNumId w:val="26"/>
  </w:num>
  <w:num w:numId="25">
    <w:abstractNumId w:val="1"/>
  </w:num>
  <w:num w:numId="26">
    <w:abstractNumId w:val="19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6B"/>
    <w:rsid w:val="00003411"/>
    <w:rsid w:val="0000528E"/>
    <w:rsid w:val="00017AFD"/>
    <w:rsid w:val="00031176"/>
    <w:rsid w:val="00037FF3"/>
    <w:rsid w:val="00042CAA"/>
    <w:rsid w:val="00050A75"/>
    <w:rsid w:val="00050FD9"/>
    <w:rsid w:val="00070230"/>
    <w:rsid w:val="00081AA6"/>
    <w:rsid w:val="000838F1"/>
    <w:rsid w:val="000A1A33"/>
    <w:rsid w:val="000A6332"/>
    <w:rsid w:val="000A6B77"/>
    <w:rsid w:val="000B4A63"/>
    <w:rsid w:val="000D6F50"/>
    <w:rsid w:val="000F1479"/>
    <w:rsid w:val="000F7A14"/>
    <w:rsid w:val="000F7E38"/>
    <w:rsid w:val="00115776"/>
    <w:rsid w:val="00151281"/>
    <w:rsid w:val="001608E5"/>
    <w:rsid w:val="00177359"/>
    <w:rsid w:val="001816D5"/>
    <w:rsid w:val="001A6C87"/>
    <w:rsid w:val="001B4982"/>
    <w:rsid w:val="001B5D31"/>
    <w:rsid w:val="001D5170"/>
    <w:rsid w:val="002028E2"/>
    <w:rsid w:val="0024569D"/>
    <w:rsid w:val="00252094"/>
    <w:rsid w:val="002667E1"/>
    <w:rsid w:val="0029236D"/>
    <w:rsid w:val="00295DB3"/>
    <w:rsid w:val="002962FA"/>
    <w:rsid w:val="002B2756"/>
    <w:rsid w:val="002D52C4"/>
    <w:rsid w:val="002E11A4"/>
    <w:rsid w:val="002E1A90"/>
    <w:rsid w:val="002E57D4"/>
    <w:rsid w:val="00313470"/>
    <w:rsid w:val="003332CE"/>
    <w:rsid w:val="003359E4"/>
    <w:rsid w:val="00337D58"/>
    <w:rsid w:val="00340D4E"/>
    <w:rsid w:val="003428D5"/>
    <w:rsid w:val="00342F6A"/>
    <w:rsid w:val="00387E13"/>
    <w:rsid w:val="00391F03"/>
    <w:rsid w:val="003C4C7D"/>
    <w:rsid w:val="003E2D52"/>
    <w:rsid w:val="003E46C5"/>
    <w:rsid w:val="003E5E68"/>
    <w:rsid w:val="003E660E"/>
    <w:rsid w:val="003F1F71"/>
    <w:rsid w:val="00431D38"/>
    <w:rsid w:val="00432BAD"/>
    <w:rsid w:val="0043621D"/>
    <w:rsid w:val="00446AA3"/>
    <w:rsid w:val="0047297E"/>
    <w:rsid w:val="00480E24"/>
    <w:rsid w:val="00490EB6"/>
    <w:rsid w:val="00491A65"/>
    <w:rsid w:val="00492E90"/>
    <w:rsid w:val="004C7367"/>
    <w:rsid w:val="004D380F"/>
    <w:rsid w:val="004D4A95"/>
    <w:rsid w:val="004E2F3C"/>
    <w:rsid w:val="004E652D"/>
    <w:rsid w:val="004F108F"/>
    <w:rsid w:val="00522690"/>
    <w:rsid w:val="005414C1"/>
    <w:rsid w:val="00547037"/>
    <w:rsid w:val="00551EB8"/>
    <w:rsid w:val="00557DBC"/>
    <w:rsid w:val="00560B5E"/>
    <w:rsid w:val="0056402D"/>
    <w:rsid w:val="00567488"/>
    <w:rsid w:val="00567A26"/>
    <w:rsid w:val="005852B6"/>
    <w:rsid w:val="00591375"/>
    <w:rsid w:val="00597A33"/>
    <w:rsid w:val="005A2551"/>
    <w:rsid w:val="005C0539"/>
    <w:rsid w:val="005C0F35"/>
    <w:rsid w:val="005E11BD"/>
    <w:rsid w:val="005E6AC7"/>
    <w:rsid w:val="00606A70"/>
    <w:rsid w:val="00612C44"/>
    <w:rsid w:val="006135A6"/>
    <w:rsid w:val="0062064E"/>
    <w:rsid w:val="00620ED0"/>
    <w:rsid w:val="006226CE"/>
    <w:rsid w:val="006244A2"/>
    <w:rsid w:val="0065523C"/>
    <w:rsid w:val="0067248D"/>
    <w:rsid w:val="006A5B00"/>
    <w:rsid w:val="006B55A3"/>
    <w:rsid w:val="006C55B7"/>
    <w:rsid w:val="006D1318"/>
    <w:rsid w:val="006D31DC"/>
    <w:rsid w:val="006D6C69"/>
    <w:rsid w:val="006F451E"/>
    <w:rsid w:val="00706A81"/>
    <w:rsid w:val="00722151"/>
    <w:rsid w:val="00727C80"/>
    <w:rsid w:val="00767225"/>
    <w:rsid w:val="00770586"/>
    <w:rsid w:val="00796C59"/>
    <w:rsid w:val="007975F4"/>
    <w:rsid w:val="007B386C"/>
    <w:rsid w:val="007B3C2B"/>
    <w:rsid w:val="007B5002"/>
    <w:rsid w:val="007C2535"/>
    <w:rsid w:val="007D5433"/>
    <w:rsid w:val="007F0B7F"/>
    <w:rsid w:val="00800475"/>
    <w:rsid w:val="008021B0"/>
    <w:rsid w:val="008044BD"/>
    <w:rsid w:val="00812B04"/>
    <w:rsid w:val="008339A4"/>
    <w:rsid w:val="00835CFC"/>
    <w:rsid w:val="00841BB5"/>
    <w:rsid w:val="00845F5A"/>
    <w:rsid w:val="008505E2"/>
    <w:rsid w:val="00863353"/>
    <w:rsid w:val="0089477A"/>
    <w:rsid w:val="008B58D7"/>
    <w:rsid w:val="008C0484"/>
    <w:rsid w:val="008E38D3"/>
    <w:rsid w:val="008E7EAA"/>
    <w:rsid w:val="008F3F6B"/>
    <w:rsid w:val="0093406A"/>
    <w:rsid w:val="00936004"/>
    <w:rsid w:val="009412DB"/>
    <w:rsid w:val="00952DEA"/>
    <w:rsid w:val="00967AB4"/>
    <w:rsid w:val="00970923"/>
    <w:rsid w:val="00983266"/>
    <w:rsid w:val="00985702"/>
    <w:rsid w:val="009950D0"/>
    <w:rsid w:val="009C15BE"/>
    <w:rsid w:val="009C7F48"/>
    <w:rsid w:val="009D4683"/>
    <w:rsid w:val="009E2187"/>
    <w:rsid w:val="009E55CB"/>
    <w:rsid w:val="009E5724"/>
    <w:rsid w:val="009F3DB0"/>
    <w:rsid w:val="009F45C4"/>
    <w:rsid w:val="00A0052F"/>
    <w:rsid w:val="00A1525C"/>
    <w:rsid w:val="00A228F5"/>
    <w:rsid w:val="00A31CF0"/>
    <w:rsid w:val="00A7738F"/>
    <w:rsid w:val="00A92B2D"/>
    <w:rsid w:val="00AB65AA"/>
    <w:rsid w:val="00AD561E"/>
    <w:rsid w:val="00B04713"/>
    <w:rsid w:val="00B065A7"/>
    <w:rsid w:val="00B07C04"/>
    <w:rsid w:val="00B1595B"/>
    <w:rsid w:val="00B335FA"/>
    <w:rsid w:val="00B37050"/>
    <w:rsid w:val="00B4230B"/>
    <w:rsid w:val="00B54FDA"/>
    <w:rsid w:val="00B625F8"/>
    <w:rsid w:val="00B67FCF"/>
    <w:rsid w:val="00B71675"/>
    <w:rsid w:val="00B90C82"/>
    <w:rsid w:val="00BC3964"/>
    <w:rsid w:val="00BC48F6"/>
    <w:rsid w:val="00BD1DF5"/>
    <w:rsid w:val="00BD38C6"/>
    <w:rsid w:val="00BE297C"/>
    <w:rsid w:val="00BE567D"/>
    <w:rsid w:val="00BF57F6"/>
    <w:rsid w:val="00BF7071"/>
    <w:rsid w:val="00C03A63"/>
    <w:rsid w:val="00C134AF"/>
    <w:rsid w:val="00C213BB"/>
    <w:rsid w:val="00C21EDB"/>
    <w:rsid w:val="00C27C8F"/>
    <w:rsid w:val="00C87650"/>
    <w:rsid w:val="00CB4201"/>
    <w:rsid w:val="00CC02CE"/>
    <w:rsid w:val="00CC3EE0"/>
    <w:rsid w:val="00CC4410"/>
    <w:rsid w:val="00CD08B2"/>
    <w:rsid w:val="00CD48CE"/>
    <w:rsid w:val="00CD6962"/>
    <w:rsid w:val="00CE7749"/>
    <w:rsid w:val="00CF6A54"/>
    <w:rsid w:val="00D270F9"/>
    <w:rsid w:val="00D54077"/>
    <w:rsid w:val="00D57E73"/>
    <w:rsid w:val="00D7471B"/>
    <w:rsid w:val="00D76EA3"/>
    <w:rsid w:val="00DA2974"/>
    <w:rsid w:val="00DB0DB5"/>
    <w:rsid w:val="00DC460D"/>
    <w:rsid w:val="00DC7142"/>
    <w:rsid w:val="00DC759D"/>
    <w:rsid w:val="00DF6FA6"/>
    <w:rsid w:val="00E04C0C"/>
    <w:rsid w:val="00E33F64"/>
    <w:rsid w:val="00E34C9B"/>
    <w:rsid w:val="00E3557B"/>
    <w:rsid w:val="00E5023F"/>
    <w:rsid w:val="00E86802"/>
    <w:rsid w:val="00EB1F08"/>
    <w:rsid w:val="00EC6FA2"/>
    <w:rsid w:val="00F02E8D"/>
    <w:rsid w:val="00F14477"/>
    <w:rsid w:val="00F23860"/>
    <w:rsid w:val="00F46FD9"/>
    <w:rsid w:val="00F60695"/>
    <w:rsid w:val="00F86065"/>
    <w:rsid w:val="00F927EB"/>
    <w:rsid w:val="00FB1A38"/>
    <w:rsid w:val="00FB33A9"/>
    <w:rsid w:val="00FB736C"/>
    <w:rsid w:val="00FD2AB0"/>
    <w:rsid w:val="00FF060B"/>
    <w:rsid w:val="00FF2913"/>
    <w:rsid w:val="00FF3CD1"/>
    <w:rsid w:val="00FF480A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1F93"/>
  <w15:chartTrackingRefBased/>
  <w15:docId w15:val="{A22E8E2A-662D-4DA3-8E43-928BF03A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297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DA29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6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1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C1"/>
  </w:style>
  <w:style w:type="paragraph" w:styleId="Footer">
    <w:name w:val="footer"/>
    <w:basedOn w:val="Normal"/>
    <w:link w:val="FooterChar"/>
    <w:uiPriority w:val="99"/>
    <w:unhideWhenUsed/>
    <w:rsid w:val="00541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C1"/>
  </w:style>
  <w:style w:type="character" w:styleId="PageNumber">
    <w:name w:val="page number"/>
    <w:basedOn w:val="DefaultParagraphFont"/>
    <w:uiPriority w:val="99"/>
    <w:semiHidden/>
    <w:unhideWhenUsed/>
    <w:rsid w:val="008339A4"/>
  </w:style>
  <w:style w:type="paragraph" w:styleId="BalloonText">
    <w:name w:val="Balloon Text"/>
    <w:basedOn w:val="Normal"/>
    <w:link w:val="BalloonTextChar"/>
    <w:uiPriority w:val="99"/>
    <w:semiHidden/>
    <w:unhideWhenUsed/>
    <w:rsid w:val="009E55C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5C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4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4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4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41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F45C4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sid w:val="009E218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8B5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cg185" TargetMode="External"/><Relationship Id="rId18" Type="http://schemas.openxmlformats.org/officeDocument/2006/relationships/hyperlink" Target="http://oxfordhealthbrc.nihr.ac.uk/wp-content/uploads/2020/04/Zhou-2015.pdf" TargetMode="External"/><Relationship Id="rId26" Type="http://schemas.openxmlformats.org/officeDocument/2006/relationships/hyperlink" Target="https://www.nice.org.uk/guidance/cg185" TargetMode="External"/><Relationship Id="rId39" Type="http://schemas.openxmlformats.org/officeDocument/2006/relationships/hyperlink" Target="https://www.kidney-international.org/article/S0085-2538(20)30255-6/pdf" TargetMode="External"/><Relationship Id="rId21" Type="http://schemas.openxmlformats.org/officeDocument/2006/relationships/hyperlink" Target="http://www.oxfordhealthformulary.nhs.uk/docs/Lithium%20monitoring%20-%20information%20for%20health%20care%20professionals%20-%20COVID%2019%20memov2.pdf?UNLID=43283507020206139558" TargetMode="External"/><Relationship Id="rId34" Type="http://schemas.openxmlformats.org/officeDocument/2006/relationships/hyperlink" Target="https://www.rcpsych.ac.uk/about-us/responding-to-covid-19/responding-to-covid-19-guidance-for-clinicians/community-and-inpatient-services/providing-medication" TargetMode="External"/><Relationship Id="rId42" Type="http://schemas.openxmlformats.org/officeDocument/2006/relationships/hyperlink" Target="http://www.oxfordhealthformulary.nhs.uk/docs/Lithium%20monitoring%20-%20information%20for%20health%20care%20professionals%20-%20COVID%2019%20memov2.pdf?UNLID=43283507020206139558" TargetMode="External"/><Relationship Id="rId47" Type="http://schemas.openxmlformats.org/officeDocument/2006/relationships/hyperlink" Target="https://www.nice.org.uk/guidance/cg185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bmj.com/content/346/bmj.f3646.long" TargetMode="External"/><Relationship Id="rId29" Type="http://schemas.openxmlformats.org/officeDocument/2006/relationships/hyperlink" Target="http://www.oxfordhealthformulary.nhs.uk/docs/Lithium%20monitoring%20-%20information%20for%20health%20care%20professionals%20-%20COVID%2019%20memov2.pdf?UNLID=43283507020206139558" TargetMode="External"/><Relationship Id="rId11" Type="http://schemas.openxmlformats.org/officeDocument/2006/relationships/hyperlink" Target="https://www.nice.org.uk/guidance/qs95" TargetMode="External"/><Relationship Id="rId24" Type="http://schemas.openxmlformats.org/officeDocument/2006/relationships/hyperlink" Target="https://www.rpharms.com/Portals/0/RPS%20document%20library/Open%20access/Coronavirus/CMHP%20Monitoring%20Lithium%20during%20Covid-19%20Pandemic-RPSendorsed.pdf?ver=2020-03-31-103408-973" TargetMode="External"/><Relationship Id="rId32" Type="http://schemas.openxmlformats.org/officeDocument/2006/relationships/hyperlink" Target="http://oxfordhealthbrc.nihr.ac.uk/wp-content/uploads/2020/04/Covid-19-and-Lithium-policy-final.pdf" TargetMode="External"/><Relationship Id="rId37" Type="http://schemas.openxmlformats.org/officeDocument/2006/relationships/hyperlink" Target="http://oxfordhealthbrc.nihr.ac.uk/wp-content/uploads/2020/04/Covid-19-and-Lithium-policy-final.pdf" TargetMode="External"/><Relationship Id="rId40" Type="http://schemas.openxmlformats.org/officeDocument/2006/relationships/hyperlink" Target="https://www.rpharms.com/Portals/0/RPS%20document%20library/Open%20access/Coronavirus/CMHP%20Monitoring%20Lithium%20during%20Covid-19%20Pandemic-RPSendorsed.pdf?ver=2020-03-31-103408-973" TargetMode="External"/><Relationship Id="rId45" Type="http://schemas.openxmlformats.org/officeDocument/2006/relationships/hyperlink" Target="https://bnf.nice.org.uk/drug/lithium-citrat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p.org.uk/pdfs/BAP_Guidelines-Antidepressants.pdf" TargetMode="External"/><Relationship Id="rId23" Type="http://schemas.openxmlformats.org/officeDocument/2006/relationships/hyperlink" Target="https://www.rcn.org.uk/clinical-topics/mental-health/covid-19-guidance-on-mental-healthcare-delivery" TargetMode="External"/><Relationship Id="rId28" Type="http://schemas.openxmlformats.org/officeDocument/2006/relationships/hyperlink" Target="https://www.rpharms.com/Portals/0/RPS%20document%20library/Open%20access/Coronavirus/CMHP%20Monitoring%20Lithium%20during%20Covid-19%20Pandemic-RPSendorsed.pdf?ver=2020-03-31-103408-973" TargetMode="External"/><Relationship Id="rId36" Type="http://schemas.openxmlformats.org/officeDocument/2006/relationships/hyperlink" Target="https://www.rpharms.com/Portals/0/RPS%20document%20library/Open%20access/Coronavirus/CMHP%20Monitoring%20Lithium%20during%20Covid-19%20Pandemic-RPSendorsed.pdf?ver=2020-03-31-103408-973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www.rcpsych.ac.uk/about-us/responding-to-covid-19/responding-to-covid-19-guidance-for-clinicians/community-and-inpatient-services/providing-medication" TargetMode="External"/><Relationship Id="rId19" Type="http://schemas.openxmlformats.org/officeDocument/2006/relationships/hyperlink" Target="https://www.rpharms.com/Portals/0/RPS%20document%20library/Open%20access/Coronavirus/CMHP%20Monitoring%20Lithium%20during%20Covid-19%20Pandemic-RPSendorsed.pdf?ver=2020-03-31-103408-973" TargetMode="External"/><Relationship Id="rId31" Type="http://schemas.openxmlformats.org/officeDocument/2006/relationships/hyperlink" Target="https://www.rpharms.com/Portals/0/RPS%20document%20library/Open%20access/Coronavirus/CMHP%20Monitoring%20Lithium%20during%20Covid-19%20Pandemic-RPSendorsed.pdf?ver=2020-03-31-103408-973" TargetMode="External"/><Relationship Id="rId44" Type="http://schemas.openxmlformats.org/officeDocument/2006/relationships/hyperlink" Target="https://www.england.nhs.uk/coronavirus/wp-content/uploads/sites/52/2020/03/C0841-managing-demand-and-capacity-across-mh-and-ld-v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xfordhealthbrc.nihr.ac.uk/our-work/oxppl/table-3-lithium-treatment/" TargetMode="External"/><Relationship Id="rId14" Type="http://schemas.openxmlformats.org/officeDocument/2006/relationships/hyperlink" Target="https://www.bap.org.uk/pdfs/BAP_Guidelines-Bipolar.pdf" TargetMode="External"/><Relationship Id="rId22" Type="http://schemas.openxmlformats.org/officeDocument/2006/relationships/hyperlink" Target="https://www.rcgp.org.uk/-/media/Files/Policy/A-Z-policy/2020/covid19/RCGP%20guidance/202003233RCGPGuidanceprioritisationroutineworkduringCovidFINAL" TargetMode="External"/><Relationship Id="rId27" Type="http://schemas.openxmlformats.org/officeDocument/2006/relationships/hyperlink" Target="https://www.sps.nhs.uk/articles/lithium-drug-monitoring-in-primary-care-during-covid-19-for-stable-patients/" TargetMode="External"/><Relationship Id="rId30" Type="http://schemas.openxmlformats.org/officeDocument/2006/relationships/hyperlink" Target="https://www.rcpsych.ac.uk/about-us/responding-to-covid-19/responding-to-covid-19-guidance-for-clinicians/community-and-inpatient-services/providing-medication" TargetMode="External"/><Relationship Id="rId35" Type="http://schemas.openxmlformats.org/officeDocument/2006/relationships/hyperlink" Target="http://www.oxfordhealthformulary.nhs.uk/docs/Lithium%20monitoring%20-%20information%20for%20health%20care%20professionals%20-%20COVID%2019%20memov2.pdf?UNLID=43283507020206139558" TargetMode="External"/><Relationship Id="rId43" Type="http://schemas.openxmlformats.org/officeDocument/2006/relationships/hyperlink" Target="https://www.nice.org.uk/guidance/cg185" TargetMode="External"/><Relationship Id="rId48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nice.org.uk/guidance/cg185" TargetMode="External"/><Relationship Id="rId17" Type="http://schemas.openxmlformats.org/officeDocument/2006/relationships/hyperlink" Target="http://oxfordhealthbrc.nihr.ac.uk/wp-content/uploads/2020/04/Smith-2017.pdf" TargetMode="External"/><Relationship Id="rId25" Type="http://schemas.openxmlformats.org/officeDocument/2006/relationships/hyperlink" Target="http://www.oxfordhealthformulary.nhs.uk/docs/Lithium%20monitoring%20-%20information%20for%20health%20care%20professionals%20-%20COVID%2019%20memov2.pdf?UNLID=43283507020206139558" TargetMode="External"/><Relationship Id="rId33" Type="http://schemas.openxmlformats.org/officeDocument/2006/relationships/hyperlink" Target="http://www.oxfordhealthformulary.nhs.uk/docs/Lithium%20monitoring%20-%20information%20for%20health%20care%20professionals%20-%20COVID%2019%20memov2.pdf?UNLID=43283507020206139558" TargetMode="External"/><Relationship Id="rId38" Type="http://schemas.openxmlformats.org/officeDocument/2006/relationships/hyperlink" Target="http://www.oxfordhealthformulary.nhs.uk/docs/Lithium%20monitoring%20-%20information%20for%20health%20care%20professionals%20-%20COVID%2019%20memov2.pdf?UNLID=43283507020206139558" TargetMode="External"/><Relationship Id="rId46" Type="http://schemas.openxmlformats.org/officeDocument/2006/relationships/hyperlink" Target="https://bnf.nice.org.uk/medicinal-forms/lithium-carbonate.html" TargetMode="External"/><Relationship Id="rId20" Type="http://schemas.openxmlformats.org/officeDocument/2006/relationships/hyperlink" Target="http://oxfordhealthbrc.nihr.ac.uk/wp-content/uploads/2020/04/Covid-19-and-Lithium-policy-final.pdf" TargetMode="External"/><Relationship Id="rId41" Type="http://schemas.openxmlformats.org/officeDocument/2006/relationships/hyperlink" Target="http://oxfordhealthbrc.nihr.ac.uk/wp-content/uploads/2020/04/Covid-19-and-Lithium-policy-fina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3367</Words>
  <Characters>19193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Woods</dc:creator>
  <cp:keywords/>
  <dc:description/>
  <cp:lastModifiedBy>Kurtulmus Ayse (RNU) Oxford Health</cp:lastModifiedBy>
  <cp:revision>10</cp:revision>
  <cp:lastPrinted>2020-03-29T22:36:00Z</cp:lastPrinted>
  <dcterms:created xsi:type="dcterms:W3CDTF">2020-05-13T09:17:00Z</dcterms:created>
  <dcterms:modified xsi:type="dcterms:W3CDTF">2021-03-18T09:52:00Z</dcterms:modified>
</cp:coreProperties>
</file>