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70E76CCB" w:rsidR="00C134AF" w:rsidRPr="005F1396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1DDB1D5" wp14:editId="52552BA6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1FD3" w14:textId="794596B6" w:rsidR="005414C1" w:rsidRPr="005F1396" w:rsidRDefault="002919EC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96534CE" wp14:editId="2B5E1A5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BDB4" w14:textId="77777777" w:rsidR="001F62C5" w:rsidRPr="005F1396" w:rsidRDefault="001F62C5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65B94C41" w14:textId="77777777" w:rsidR="002919EC" w:rsidRPr="005F1396" w:rsidRDefault="002919EC" w:rsidP="002919EC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90C33E9" w14:textId="77777777" w:rsidR="002919EC" w:rsidRPr="005F1396" w:rsidRDefault="002919EC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3ACB0A6" w14:textId="77777777" w:rsidR="00922110" w:rsidRPr="005F1396" w:rsidRDefault="00922110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F1A08BC" w14:textId="7533C4F3" w:rsidR="005C0539" w:rsidRPr="001F17E4" w:rsidRDefault="00FB107B" w:rsidP="001F17E4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Tablo</w:t>
      </w:r>
      <w:proofErr w:type="spellEnd"/>
      <w:r w:rsidR="001F17E4" w:rsidRPr="001F17E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D1FFB">
        <w:rPr>
          <w:rFonts w:asciiTheme="majorHAnsi" w:hAnsiTheme="majorHAnsi" w:cstheme="majorHAnsi"/>
          <w:b/>
          <w:bCs/>
          <w:color w:val="000000" w:themeColor="text1"/>
        </w:rPr>
        <w:t>6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Benzodiazepinler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ve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Z-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grubu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ilaçlar</w:t>
      </w:r>
      <w:proofErr w:type="spellEnd"/>
      <w:r w:rsidR="003A61E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F17E4" w:rsidRPr="001F17E4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Pr="00FB107B">
        <w:rPr>
          <w:rFonts w:asciiTheme="majorHAnsi" w:hAnsiTheme="majorHAnsi" w:cstheme="majorHAnsi"/>
          <w:b/>
          <w:bCs/>
          <w:color w:val="000000" w:themeColor="text1"/>
        </w:rPr>
        <w:t xml:space="preserve">COVID-19 </w:t>
      </w:r>
      <w:proofErr w:type="spellStart"/>
      <w:r w:rsidR="00D372D4" w:rsidRPr="00D372D4">
        <w:rPr>
          <w:rFonts w:asciiTheme="majorHAnsi" w:hAnsiTheme="majorHAnsi" w:cstheme="majorHAnsi"/>
          <w:b/>
          <w:bCs/>
        </w:rPr>
        <w:t>pandemisi</w:t>
      </w:r>
      <w:proofErr w:type="spellEnd"/>
      <w:r w:rsidR="00D372D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372D4">
        <w:rPr>
          <w:rFonts w:asciiTheme="majorHAnsi" w:hAnsiTheme="majorHAnsi" w:cstheme="majorHAnsi"/>
          <w:b/>
          <w:bCs/>
          <w:color w:val="000000" w:themeColor="text1"/>
        </w:rPr>
        <w:t>sürecinde</w:t>
      </w:r>
      <w:proofErr w:type="spellEnd"/>
      <w:r w:rsidR="00595D2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595D26">
        <w:rPr>
          <w:rFonts w:asciiTheme="majorHAnsi" w:hAnsiTheme="majorHAnsi" w:cstheme="majorHAnsi"/>
          <w:b/>
          <w:bCs/>
          <w:color w:val="000000" w:themeColor="text1"/>
        </w:rPr>
        <w:t>Benzodiazepin</w:t>
      </w:r>
      <w:proofErr w:type="spellEnd"/>
      <w:r w:rsidRPr="00FB107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FB107B">
        <w:rPr>
          <w:rFonts w:asciiTheme="majorHAnsi" w:hAnsiTheme="majorHAnsi" w:cstheme="majorHAnsi"/>
          <w:b/>
          <w:bCs/>
          <w:color w:val="000000" w:themeColor="text1"/>
        </w:rPr>
        <w:t>ve</w:t>
      </w:r>
      <w:r w:rsidR="00D372D4">
        <w:rPr>
          <w:rFonts w:asciiTheme="majorHAnsi" w:hAnsiTheme="majorHAnsi" w:cstheme="majorHAnsi"/>
          <w:b/>
          <w:bCs/>
          <w:color w:val="000000" w:themeColor="text1"/>
        </w:rPr>
        <w:t>ya</w:t>
      </w:r>
      <w:proofErr w:type="spellEnd"/>
      <w:r w:rsidRPr="00FB107B">
        <w:rPr>
          <w:rFonts w:asciiTheme="majorHAnsi" w:hAnsiTheme="majorHAnsi" w:cstheme="majorHAnsi"/>
          <w:b/>
          <w:bCs/>
          <w:color w:val="000000" w:themeColor="text1"/>
        </w:rPr>
        <w:t xml:space="preserve"> Z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gurubu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595D26">
        <w:rPr>
          <w:rFonts w:asciiTheme="majorHAnsi" w:hAnsiTheme="majorHAnsi" w:cstheme="majorHAnsi"/>
          <w:b/>
          <w:bCs/>
          <w:color w:val="000000" w:themeColor="text1"/>
        </w:rPr>
        <w:t>ilaç</w:t>
      </w:r>
      <w:proofErr w:type="spellEnd"/>
      <w:r w:rsidR="00595D2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595D26">
        <w:rPr>
          <w:rFonts w:asciiTheme="majorHAnsi" w:hAnsiTheme="majorHAnsi" w:cstheme="majorHAnsi"/>
          <w:b/>
          <w:bCs/>
          <w:color w:val="000000" w:themeColor="text1"/>
        </w:rPr>
        <w:t>kullanan</w:t>
      </w:r>
      <w:proofErr w:type="spellEnd"/>
      <w:r w:rsidRPr="00FB107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FB107B">
        <w:rPr>
          <w:rFonts w:asciiTheme="majorHAnsi" w:hAnsiTheme="majorHAnsi" w:cstheme="majorHAnsi"/>
          <w:b/>
          <w:bCs/>
          <w:color w:val="000000" w:themeColor="text1"/>
        </w:rPr>
        <w:t>hastalar</w:t>
      </w:r>
      <w:r>
        <w:rPr>
          <w:rFonts w:asciiTheme="majorHAnsi" w:hAnsiTheme="majorHAnsi" w:cstheme="majorHAnsi"/>
          <w:b/>
          <w:bCs/>
          <w:color w:val="000000" w:themeColor="text1"/>
        </w:rPr>
        <w:t>ın</w:t>
      </w:r>
      <w:proofErr w:type="spellEnd"/>
      <w:r w:rsidRPr="00FB107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yönetimi</w:t>
      </w:r>
      <w:proofErr w:type="spellEnd"/>
    </w:p>
    <w:p w14:paraId="7148E0DB" w14:textId="77777777" w:rsidR="00CE1682" w:rsidRDefault="00CE1682" w:rsidP="001F62C5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  <w:highlight w:val="yellow"/>
        </w:rPr>
      </w:pPr>
    </w:p>
    <w:p w14:paraId="23E08075" w14:textId="77777777" w:rsidR="00CE1682" w:rsidRDefault="00CE1682" w:rsidP="00CE1682">
      <w:pPr>
        <w:spacing w:before="8" w:after="8" w:line="240" w:lineRule="auto"/>
        <w:ind w:hanging="567"/>
      </w:pPr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>.</w:t>
      </w:r>
      <w:r w:rsidRPr="0077141E">
        <w:t xml:space="preserve"> </w:t>
      </w:r>
    </w:p>
    <w:p w14:paraId="76ACC066" w14:textId="77777777" w:rsidR="00CE1682" w:rsidRDefault="00CE1682" w:rsidP="00CE1682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öneri</w:t>
      </w:r>
      <w:r>
        <w:rPr>
          <w:rFonts w:asciiTheme="majorHAnsi" w:hAnsiTheme="majorHAnsi" w:cstheme="majorHAnsi"/>
          <w:i/>
          <w:iCs/>
          <w:color w:val="000000" w:themeColor="text1"/>
        </w:rPr>
        <w:t>leri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>ni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ait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61572E7E" w14:textId="77777777" w:rsidR="00595D26" w:rsidRDefault="00595D26" w:rsidP="00CE1682">
      <w:pPr>
        <w:spacing w:before="8" w:after="8" w:line="240" w:lineRule="auto"/>
        <w:ind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5D6D1698" w14:textId="77777777" w:rsidR="00AB7961" w:rsidRDefault="00595D26" w:rsidP="00AB7961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CE1682">
        <w:rPr>
          <w:rFonts w:asciiTheme="majorHAnsi" w:hAnsiTheme="majorHAnsi" w:cstheme="majorHAnsi"/>
          <w:i/>
          <w:iCs/>
          <w:color w:val="000000" w:themeColor="text1"/>
        </w:rPr>
        <w:t>rehber</w:t>
      </w:r>
      <w:proofErr w:type="spellEnd"/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9" w:history="1">
        <w:r w:rsidRPr="00CE1682">
          <w:rPr>
            <w:rStyle w:val="Hyperlink"/>
            <w:rFonts w:asciiTheme="majorHAnsi" w:hAnsiTheme="majorHAnsi" w:cstheme="majorHAnsi"/>
            <w:i/>
            <w:iCs/>
          </w:rPr>
          <w:t>KKE (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kişisel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koruyucu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ekipman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)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kullan</w:t>
        </w:r>
        <w:r w:rsidRPr="00CE1682">
          <w:rPr>
            <w:rStyle w:val="Hyperlink"/>
            <w:rFonts w:asciiTheme="majorHAnsi" w:hAnsiTheme="majorHAnsi" w:cstheme="majorHAnsi"/>
            <w:i/>
            <w:iCs/>
            <w:lang w:val="tr-TR"/>
          </w:rPr>
          <w:t>ımı</w:t>
        </w:r>
        <w:proofErr w:type="spellEnd"/>
      </w:hyperlink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CE1682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10" w:history="1"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hastane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ortamlarında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bulaş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riskinin</w:t>
        </w:r>
        <w:proofErr w:type="spellEnd"/>
        <w:r w:rsidRPr="00CE168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CE1682">
          <w:rPr>
            <w:rStyle w:val="Hyperlink"/>
            <w:rFonts w:asciiTheme="majorHAnsi" w:hAnsiTheme="majorHAnsi" w:cstheme="majorHAnsi"/>
            <w:i/>
            <w:iCs/>
          </w:rPr>
          <w:t>azaltılması</w:t>
        </w:r>
        <w:proofErr w:type="spellEnd"/>
      </w:hyperlink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CE1682">
        <w:rPr>
          <w:rFonts w:asciiTheme="majorHAnsi" w:hAnsiTheme="majorHAnsi" w:cstheme="majorHAnsi"/>
          <w:i/>
          <w:iCs/>
          <w:color w:val="000000" w:themeColor="text1"/>
        </w:rPr>
        <w:t>konusundaki</w:t>
      </w:r>
      <w:proofErr w:type="spellEnd"/>
      <w:r w:rsidR="0043651A"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43651A" w:rsidRPr="00CE1682">
        <w:rPr>
          <w:rFonts w:asciiTheme="majorHAnsi" w:hAnsiTheme="majorHAnsi" w:cstheme="majorHAnsi"/>
          <w:i/>
          <w:iCs/>
          <w:color w:val="000000" w:themeColor="text1"/>
        </w:rPr>
        <w:t>güncel</w:t>
      </w:r>
      <w:proofErr w:type="spellEnd"/>
      <w:r w:rsidR="0043651A"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43651A" w:rsidRPr="00CE1682">
        <w:rPr>
          <w:rFonts w:asciiTheme="majorHAnsi" w:hAnsiTheme="majorHAnsi" w:cstheme="majorHAnsi"/>
          <w:i/>
          <w:iCs/>
          <w:color w:val="000000" w:themeColor="text1"/>
        </w:rPr>
        <w:t>önerilerle</w:t>
      </w:r>
      <w:proofErr w:type="spellEnd"/>
      <w:r w:rsidR="00CE1682"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CE1682" w:rsidRPr="00CE1682">
        <w:rPr>
          <w:rFonts w:asciiTheme="majorHAnsi" w:hAnsiTheme="majorHAnsi" w:cstheme="majorHAnsi"/>
          <w:i/>
          <w:iCs/>
          <w:color w:val="000000" w:themeColor="text1"/>
        </w:rPr>
        <w:t>birlikt</w:t>
      </w:r>
      <w:proofErr w:type="spellEnd"/>
      <w:r w:rsidRPr="00CE16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CE1682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CE1682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123D4C6C" w14:textId="77777777" w:rsidR="00AB7961" w:rsidRDefault="00AB7961" w:rsidP="00AB7961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595C54AB" w14:textId="12E606CC" w:rsidR="00EE04C8" w:rsidRPr="00AB7961" w:rsidRDefault="00EE04C8" w:rsidP="00AB7961">
      <w:pPr>
        <w:spacing w:before="8" w:after="8" w:line="240" w:lineRule="auto"/>
        <w:ind w:left="-567"/>
        <w:rPr>
          <w:rFonts w:asciiTheme="majorHAnsi" w:hAnsiTheme="majorHAnsi" w:cstheme="majorHAnsi"/>
          <w:i/>
          <w:iCs/>
          <w:color w:val="000000" w:themeColor="text1"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Oxford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Üniversitesi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tarafından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hazırlanan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AB7961">
        <w:rPr>
          <w:rFonts w:asciiTheme="majorHAnsi" w:hAnsiTheme="majorHAnsi" w:cstheme="majorHAnsi"/>
          <w:i/>
          <w:iCs/>
          <w:color w:val="000000" w:themeColor="text1"/>
        </w:rPr>
        <w:t>“</w:t>
      </w:r>
      <w:r w:rsidR="00AB7961" w:rsidRPr="00AB7961">
        <w:rPr>
          <w:rFonts w:ascii="Calibri" w:hAnsi="Calibri"/>
          <w:i/>
        </w:rPr>
        <w:t>How to manage patients on Benzodiazepines and Z-drugs during the COVID-19 pandemic</w:t>
      </w:r>
      <w:r w:rsidRPr="00AB7961">
        <w:rPr>
          <w:rFonts w:asciiTheme="majorHAnsi" w:hAnsiTheme="majorHAnsi" w:cstheme="majorHAnsi"/>
          <w:i/>
          <w:color w:val="000000" w:themeColor="text1"/>
        </w:rPr>
        <w:t>”</w:t>
      </w:r>
      <w:r w:rsidRPr="00E37F21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="00AB796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hyperlink r:id="rId11" w:history="1">
        <w:r w:rsidR="00AB7961" w:rsidRPr="004415D8">
          <w:rPr>
            <w:rStyle w:val="Hyperlink"/>
            <w:rFonts w:asciiTheme="majorHAnsi" w:hAnsiTheme="majorHAnsi"/>
            <w:i/>
          </w:rPr>
          <w:t>https://oxfordhealthbrc.nihr.ac.uk/our-work/oxppl/table-6-benzodiazepines-and-z-drugs-zopiclone-and-zolpidem/</w:t>
        </w:r>
      </w:hyperlink>
      <w:r w:rsidR="00AB7961">
        <w:rPr>
          <w:rFonts w:asciiTheme="majorHAnsi" w:hAnsiTheme="majorHAnsi"/>
          <w:i/>
        </w:rPr>
        <w:t xml:space="preserve"> </w:t>
      </w:r>
    </w:p>
    <w:p w14:paraId="3296AC4A" w14:textId="77777777" w:rsidR="00EE04C8" w:rsidRPr="00CE1682" w:rsidRDefault="00EE04C8" w:rsidP="00595D26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689F74FB" w14:textId="246DE40F" w:rsidR="00595D26" w:rsidRPr="005F1396" w:rsidRDefault="00AB7961" w:rsidP="00FF4E6F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6E5C02ED" w14:textId="77777777" w:rsidR="001F62C5" w:rsidRPr="005F1396" w:rsidRDefault="001F62C5" w:rsidP="00B45E14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3402"/>
        <w:gridCol w:w="11446"/>
      </w:tblGrid>
      <w:tr w:rsidR="00DD7145" w:rsidRPr="005F1396" w14:paraId="41DC99C5" w14:textId="77777777" w:rsidTr="00B133A7">
        <w:tc>
          <w:tcPr>
            <w:tcW w:w="3402" w:type="dxa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5F7518E2" w:rsidR="005C0539" w:rsidRPr="005F1396" w:rsidRDefault="007700FE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60D13C21" w:rsidR="005C0539" w:rsidRPr="005F1396" w:rsidRDefault="007700FE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</w:tc>
      </w:tr>
      <w:tr w:rsidR="00DD7145" w:rsidRPr="005F1396" w14:paraId="690D7DB0" w14:textId="77777777" w:rsidTr="00B133A7">
        <w:tc>
          <w:tcPr>
            <w:tcW w:w="3402" w:type="dxa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4703FEBF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7E4" w:rsidRPr="005F1396" w14:paraId="0AC80CEA" w14:textId="77777777" w:rsidTr="001F17E4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246"/>
          </w:tcPr>
          <w:p w14:paraId="52F7E2E3" w14:textId="6C884179" w:rsidR="001F17E4" w:rsidRPr="001F17E4" w:rsidRDefault="001F17E4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F17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COVID</w:t>
            </w:r>
            <w:r w:rsidR="002D1FF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-</w:t>
            </w:r>
            <w:r w:rsidRPr="001F17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19</w:t>
            </w:r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’ </w:t>
            </w:r>
            <w:proofErr w:type="spellStart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lu</w:t>
            </w:r>
            <w:proofErr w:type="spellEnd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hastalarda</w:t>
            </w:r>
            <w:proofErr w:type="spellEnd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benzodiazepin</w:t>
            </w:r>
            <w:proofErr w:type="spellEnd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700F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kullanımı</w:t>
            </w:r>
            <w:proofErr w:type="spellEnd"/>
          </w:p>
        </w:tc>
      </w:tr>
      <w:tr w:rsidR="00DD7145" w:rsidRPr="005F1396" w14:paraId="3CD247A2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5670EF9" w14:textId="2F5D2C59" w:rsidR="00BE531C" w:rsidRPr="005F1396" w:rsidRDefault="007700FE" w:rsidP="001F17E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öneriler</w:t>
            </w:r>
            <w:proofErr w:type="spellEnd"/>
          </w:p>
          <w:p w14:paraId="52D96544" w14:textId="77777777" w:rsidR="00AD12E7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" w:history="1">
              <w:r w:rsidRPr="001F17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4B95B1E" w14:textId="77777777" w:rsidR="00AD12E7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E870C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3" w:history="1">
              <w:r w:rsidRP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E870C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5D613FD" w14:textId="77777777" w:rsidR="00AD12E7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4" w:history="1">
              <w:r w:rsidRPr="001F17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FB46259" w14:textId="3C274084" w:rsidR="00AD12E7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5" w:history="1">
              <w:r w:rsidRPr="001F17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E64AF5D" w14:textId="23DB5A50" w:rsidR="00AD12E7" w:rsidRDefault="00EC1F02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E870CA" w:rsidRP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[link5]</w:t>
              </w:r>
              <w:r w:rsidR="00E870CA" w:rsidRP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cr/>
              </w:r>
            </w:hyperlink>
            <w:hyperlink r:id="rId17" w:history="1">
              <w:r w:rsidR="00E870CA" w:rsidRP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[link6]</w:t>
              </w:r>
            </w:hyperlink>
          </w:p>
          <w:p w14:paraId="2C02142E" w14:textId="060A7C67" w:rsidR="001F17E4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8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8615CD6" w14:textId="48E4CA3A" w:rsidR="001F17E4" w:rsidRPr="005F1396" w:rsidRDefault="001F17E4" w:rsidP="001F17E4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594371CA" w14:textId="10332442" w:rsidR="00865D2E" w:rsidRDefault="00136866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grubu</w:t>
            </w:r>
            <w:proofErr w:type="spellEnd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solunumu</w:t>
            </w:r>
            <w:proofErr w:type="spellEnd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baskılama</w:t>
            </w:r>
            <w:proofErr w:type="spellEnd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kapasitesine</w:t>
            </w:r>
            <w:proofErr w:type="spellEnd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3606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sahiptir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nedenle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fonksiyonlarının</w:t>
            </w:r>
            <w:proofErr w:type="spellEnd"/>
            <w:r w:rsidR="00865D2E" w:rsidRPr="007E1A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7E1A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zayıfladığına</w:t>
            </w:r>
            <w:proofErr w:type="spellEnd"/>
            <w:r w:rsidRPr="007E1A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dair</w:t>
            </w:r>
            <w:proofErr w:type="spellEnd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kanıt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taşıyan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hastalarda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dikkatli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kullanılmalıdırlar</w:t>
            </w:r>
            <w:proofErr w:type="spellEnd"/>
            <w:r w:rsidR="00865D2E" w:rsidRPr="00865D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8D2248B" w14:textId="77777777" w:rsidR="0036064F" w:rsidRDefault="0036064F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0D0BAFF" w14:textId="2D7865AB" w:rsidR="0036064F" w:rsidRPr="00EE7D65" w:rsidRDefault="0036064F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686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hızlı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trankilizasyon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hastaların</w:t>
            </w:r>
            <w:proofErr w:type="spellEnd"/>
            <w:r w:rsidRPr="001A30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tıbbi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durumları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yakından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takip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edilmeli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hastanın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kişisel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bakım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planına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dahil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edilmelidir</w:t>
            </w:r>
            <w:proofErr w:type="spellEnd"/>
            <w:r w:rsidR="009979B0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786DCB6F" w14:textId="77777777" w:rsidR="009979B0" w:rsidRDefault="009979B0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722474E" w14:textId="78691BF7" w:rsidR="009979B0" w:rsidRPr="00EE7D65" w:rsidRDefault="009979B0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Akut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pulmoner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yetmezliği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benzodiazepinler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kontrendikedir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diğer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yolu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hastalıklarında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dikkatli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kullanılmalıdır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A040B7E" w14:textId="77777777" w:rsidR="009979B0" w:rsidRPr="00EE7D65" w:rsidRDefault="009979B0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  <w:p w14:paraId="3839CBC6" w14:textId="1F75A504" w:rsidR="009979B0" w:rsidRPr="00EE7D65" w:rsidRDefault="009979B0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9979B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Zopiklon</w:t>
            </w:r>
            <w:proofErr w:type="spellEnd"/>
            <w:r w:rsidRPr="009979B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yetmezliği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kontrendikedir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</w:t>
            </w:r>
            <w:r w:rsidR="00510C38" w:rsidRPr="00EE7D6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yle</w:t>
            </w:r>
            <w:proofErr w:type="spellEnd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pulmoner</w:t>
            </w:r>
            <w:proofErr w:type="spellEnd"/>
            <w:r w:rsidR="00510C38" w:rsidRPr="007E1A3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0C38" w:rsidRPr="007E1A3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yetersizliği</w:t>
            </w:r>
            <w:proofErr w:type="spellEnd"/>
            <w:r w:rsidR="00510C38" w:rsidRPr="007E1A3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olanlard</w:t>
            </w:r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dikkatle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</w:t>
            </w:r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ılmalıdır</w:t>
            </w:r>
            <w:proofErr w:type="spellEnd"/>
            <w:r w:rsid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Zolpidem, </w:t>
            </w:r>
            <w:proofErr w:type="spellStart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akut</w:t>
            </w:r>
            <w:proofErr w:type="spellEnd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ağır</w:t>
            </w:r>
            <w:proofErr w:type="spellEnd"/>
            <w:r w:rsidR="00510C38"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depresyonu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kontrendikedir</w:t>
            </w:r>
            <w:proofErr w:type="spellEnd"/>
            <w:r w:rsidRPr="00EE7D6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0B713FB5" w14:textId="77777777" w:rsidR="00865D2E" w:rsidRPr="00EE7D65" w:rsidRDefault="00865D2E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  <w:p w14:paraId="6BFD8A0B" w14:textId="3BBED037" w:rsidR="00510C38" w:rsidRDefault="00510C38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dozlarda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parenteral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 B</w:t>
            </w:r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nedenle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gerektiğinde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düşük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dozlu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kısa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etkili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oral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tercih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melid</w:t>
            </w:r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ir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42F6F0D" w14:textId="77777777" w:rsidR="001F17E4" w:rsidRDefault="001F17E4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6FE321A" w14:textId="3DE3EAD1" w:rsidR="00510C38" w:rsidRDefault="00510C38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Başka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ek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sedatif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kullanan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özel</w:t>
            </w:r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likle</w:t>
            </w:r>
            <w:proofErr w:type="spellEnd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çok</w:t>
            </w:r>
            <w:proofErr w:type="spellEnd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</w:t>
            </w:r>
            <w:r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ikkat</w:t>
            </w:r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li</w:t>
            </w:r>
            <w:proofErr w:type="spellEnd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37A9" w:rsidRPr="00DF37A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olunmalıdır</w:t>
            </w:r>
            <w:proofErr w:type="spellEnd"/>
            <w:r w:rsidR="00DF37A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F37A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="00DF37A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37A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opiyat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kombinasyonu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solunumu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ölçüde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bozabilir</w:t>
            </w:r>
            <w:proofErr w:type="spellEnd"/>
            <w:r w:rsidRPr="00510C3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6C1785"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Benzodiazepinleri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benzeri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opioidler</w:t>
            </w:r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birlikte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sadece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başka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alternatif</w:t>
            </w:r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lerin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olmadığı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durumlarda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reçete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="006C1785"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Eğer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eş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zamanlı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reçetelemeye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karar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verirseniz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şunları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yapmanız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önerilir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BB42D03" w14:textId="2D35D4E7" w:rsidR="006C1785" w:rsidRPr="006C1785" w:rsidRDefault="006C1785" w:rsidP="006C1785">
            <w:pPr>
              <w:pStyle w:val="ListParagraph"/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düşük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dozları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belirtilerini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dikkatle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izleyin</w:t>
            </w:r>
            <w:proofErr w:type="spellEnd"/>
          </w:p>
          <w:p w14:paraId="0535759E" w14:textId="65A4E66A" w:rsidR="006C1785" w:rsidRPr="006C1785" w:rsidRDefault="006C1785" w:rsidP="006C1785">
            <w:pPr>
              <w:pStyle w:val="ListParagraph"/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Yeni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değişimleri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reçetesinde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değişiklik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olursa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yakın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izleme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228579D" w14:textId="11FB0D75" w:rsidR="006C1785" w:rsidRPr="006C1785" w:rsidRDefault="006C1785" w:rsidP="006C1785">
            <w:pPr>
              <w:pStyle w:val="ListParagraph"/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benzeri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birlikte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metadon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reçete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edilmesi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durumunda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metadonun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gecikebileceğinden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başlangıcında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reçete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değişiklikleri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sonrasında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hafta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boyunca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depresyonunu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açısından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yakından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takip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7400B4E" w14:textId="0A387385" w:rsidR="006C1785" w:rsidRPr="006C1785" w:rsidRDefault="006C1785" w:rsidP="006C1785">
            <w:pPr>
              <w:pStyle w:val="ListParagraph"/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sedasyon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bilgilendirin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bunlar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meydana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gelirse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acil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tıbbi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almaları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tavsiyede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bulunun</w:t>
            </w:r>
            <w:proofErr w:type="spellEnd"/>
          </w:p>
          <w:p w14:paraId="32B47994" w14:textId="6520C6A8" w:rsidR="006C1785" w:rsidRPr="006C1785" w:rsidRDefault="006C1785" w:rsidP="006C1785">
            <w:pPr>
              <w:pStyle w:val="ListParagraph"/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</w:t>
            </w:r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ca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gelişen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yan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etkileri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yerlere</w:t>
            </w:r>
            <w:proofErr w:type="spellEnd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17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bildirin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245D85C" w14:textId="77777777" w:rsidR="00C9774B" w:rsidRDefault="00C9774B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C8A0F93" w14:textId="2856F500" w:rsidR="00C9774B" w:rsidRDefault="00EE7D65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grubu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pnömoni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riskinde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artış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 w:rsidRPr="00C977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ilişkilendirilmiştir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pnömoni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gelişme</w:t>
            </w:r>
            <w:proofErr w:type="spellEnd"/>
            <w:r w:rsidR="00C9774B" w:rsidRPr="002039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03920" w:rsidRPr="002039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olasılığı</w:t>
            </w:r>
            <w:proofErr w:type="spellEnd"/>
            <w:r w:rsidR="00203920" w:rsidRPr="002039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grup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kullananlarda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1.25 kat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bulunmuştur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Odss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oranı</w:t>
            </w:r>
            <w:proofErr w:type="spellEnd"/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</w:t>
            </w:r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= 1.25;</w:t>
            </w:r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% 95</w:t>
            </w:r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aralığı</w:t>
            </w:r>
            <w:proofErr w:type="spellEnd"/>
            <w:r w:rsid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(CI), 1.09‐1.44)</w:t>
            </w:r>
            <w:r w:rsidR="00C9774B" w:rsidRPr="00C9774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85482E0" w14:textId="77777777" w:rsidR="00C9774B" w:rsidRDefault="00C9774B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D2DA72A" w14:textId="42AB4409" w:rsidR="00C9774B" w:rsidRPr="00F4451C" w:rsidRDefault="00C9774B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semptomları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benzodiazepinlerin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kronik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akut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kullanımının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etkileri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hakkında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herhangi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veri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bulunmamaktadır</w:t>
            </w:r>
            <w:proofErr w:type="spellEnd"/>
            <w:r w:rsidRPr="00F445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0BEE944" w14:textId="3B2DA76D" w:rsidR="00BE531C" w:rsidRPr="005F1396" w:rsidRDefault="00BE531C" w:rsidP="00556ECC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D7145" w:rsidRPr="005F1396" w14:paraId="531ABEF1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3169B59C" w14:textId="3F68E82E" w:rsidR="004D29B3" w:rsidRPr="004D29B3" w:rsidRDefault="004D29B3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29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Insomnia </w:t>
            </w:r>
            <w:proofErr w:type="spellStart"/>
            <w:r w:rsidRPr="004D29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tedavisi</w:t>
            </w:r>
            <w:proofErr w:type="spellEnd"/>
          </w:p>
          <w:p w14:paraId="20B244B4" w14:textId="700C2D9F" w:rsidR="00454033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9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link8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E6C38AE" w14:textId="77777777" w:rsidR="001F17E4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0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A12F055" w14:textId="4921D636" w:rsidR="00E75D89" w:rsidRPr="005F1396" w:rsidRDefault="00E75D8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1" w:history="1">
              <w:r w:rsidRPr="00E75D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link16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1C655E5" w14:textId="33B805F0" w:rsidR="001F17E4" w:rsidRPr="001F17E4" w:rsidRDefault="004D29B3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İnsomnia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tedavisi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öneriler</w:t>
            </w:r>
            <w:proofErr w:type="spellEnd"/>
          </w:p>
          <w:p w14:paraId="10DA1806" w14:textId="060C66BF" w:rsidR="001F17E4" w:rsidRPr="004D29B3" w:rsidRDefault="004D29B3" w:rsidP="001F17E4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Uyku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hijyenini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artırmaya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yönelik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önerilerde</w:t>
            </w:r>
            <w:proofErr w:type="spellEnd"/>
            <w:r w:rsidRPr="00E75D8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E75D89" w:rsidRPr="00E75D8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="00E75D89" w:rsidRPr="00E75D89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örn</w:t>
            </w:r>
            <w:proofErr w:type="spellEnd"/>
            <w:r w:rsidR="00E75D89" w:rsidRPr="00E75D89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. </w:t>
            </w:r>
            <w:proofErr w:type="gramStart"/>
            <w:r w:rsidR="00E75D89" w:rsidRPr="00E75D89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uyku</w:t>
            </w:r>
            <w:proofErr w:type="gramEnd"/>
            <w:r w:rsidR="00E75D89" w:rsidRPr="00E75D89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saatlerinizi düzenleyin, uyku öncesinde ekranlardan uzak durun, kafeini azaltın, dinlendirici bir ortam oluşturun gibi)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detaylı</w:t>
            </w:r>
            <w:proofErr w:type="spellEnd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22" w:history="1">
              <w:proofErr w:type="spellStart"/>
              <w:r w:rsidR="00E75D89" w:rsidRPr="00E75D8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RCPsych</w:t>
              </w:r>
              <w:proofErr w:type="spellEnd"/>
            </w:hyperlink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23" w:history="1">
              <w:r w:rsidR="00E75D89" w:rsidRPr="00E75D8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NHS</w:t>
              </w:r>
            </w:hyperlink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75D8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kılavuzlarına</w:t>
            </w:r>
            <w:proofErr w:type="spellEnd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29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bakınız</w:t>
            </w:r>
            <w:proofErr w:type="spellEnd"/>
            <w:r w:rsidR="001F17E4" w:rsidRPr="004D29B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9D84BE3" w14:textId="77777777" w:rsidR="001F17E4" w:rsidRDefault="001F17E4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B54D44F" w14:textId="3ADF77A2" w:rsidR="0068483E" w:rsidRPr="007C1ABF" w:rsidRDefault="0068483E" w:rsidP="007C1ABF">
            <w:pPr>
              <w:pStyle w:val="ListParagraph"/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İnsomnia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sadece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</w:t>
            </w:r>
            <w:r w:rsidR="004A408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şlevselliği</w:t>
            </w:r>
            <w:r w:rsidR="003D0DE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bozan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aşırı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sıkıntıya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="0060620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0620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ağır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uykusuzluk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40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problemi</w:t>
            </w:r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nin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</w:t>
            </w:r>
            <w:proofErr w:type="spellEnd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dışı</w:t>
            </w:r>
            <w:proofErr w:type="spellEnd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önerilerin</w:t>
            </w:r>
            <w:proofErr w:type="spellEnd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başarısız</w:t>
            </w:r>
            <w:proofErr w:type="spellEnd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</w:t>
            </w:r>
            <w:proofErr w:type="spellEnd"/>
            <w:r w:rsidR="003D0DE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durumlarda</w:t>
            </w:r>
            <w:proofErr w:type="spellEnd"/>
            <w:r w:rsidR="004A40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önerilir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586C3C8C" w14:textId="77777777" w:rsidR="0068483E" w:rsidRDefault="0068483E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B5BAE73" w14:textId="729A3C9E" w:rsidR="0068483E" w:rsidRPr="007C1ABF" w:rsidRDefault="0068483E" w:rsidP="007C1ABF">
            <w:pPr>
              <w:pStyle w:val="ListParagraph"/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D0DC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Yaşlılarda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="00ED0DC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D0DC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ED0DC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</w:t>
            </w:r>
            <w:proofErr w:type="spellEnd"/>
            <w:r w:rsidR="00ED0DC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kullanımından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0DC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kaçınılmalıdır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çünkü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ataksi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konfüzyon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riskini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arttırarak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düşme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yaralanmaya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yol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açar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463A1B4" w14:textId="77777777" w:rsidR="0068483E" w:rsidRDefault="0068483E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D3F649C" w14:textId="4A485F2C" w:rsidR="0068483E" w:rsidRDefault="0068483E" w:rsidP="007C1ABF">
            <w:pPr>
              <w:pStyle w:val="ListParagraph"/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Medikal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ihtiyaç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duyulursa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maksimum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hafta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süreyle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kısa</w:t>
            </w:r>
            <w:proofErr w:type="spellEnd"/>
            <w:r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etkili</w:t>
            </w:r>
            <w:proofErr w:type="spellEnd"/>
            <w:r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42FD"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4642FD" w:rsidRP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4642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B77C9EA" w14:textId="77777777" w:rsidR="007C1ABF" w:rsidRPr="007C1ABF" w:rsidRDefault="007C1ABF" w:rsidP="007C1ABF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B537337" w14:textId="62D3F9E1" w:rsidR="007C1ABF" w:rsidRPr="007C1ABF" w:rsidRDefault="007C1ABF" w:rsidP="007C1ABF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hastalarında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reçete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edilirken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COVID-19'un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semptomlarının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hızla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gelişebileceği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akılda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tutulmalıdır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nedenle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düzenli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izleyerek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sıkıntısı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gelişmesi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halinde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ilacın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kesilmesine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yönelik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oluşturulmalıdır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3B55B5C2" w14:textId="77777777" w:rsidR="001F17E4" w:rsidRDefault="001F17E4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92621A0" w14:textId="13DDE996" w:rsidR="007C1ABF" w:rsidRDefault="007C1ABF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Benzodiazepinlere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alternatif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seçenekler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düşünülebilir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B39775D" w14:textId="5DDA176B" w:rsidR="000E0160" w:rsidRPr="000E0160" w:rsidRDefault="000E0160" w:rsidP="000E0160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</w:t>
            </w:r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nsomnia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web-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temelli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BDT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seçenekleri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İngiltere’deki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örnek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uygulamalar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24" w:history="1">
              <w:proofErr w:type="spellStart"/>
              <w:r w:rsidRPr="000E0160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bakınız</w:t>
              </w:r>
              <w:proofErr w:type="spellEnd"/>
            </w:hyperlink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</w:p>
          <w:p w14:paraId="2DF7C7BC" w14:textId="3D28C61B" w:rsidR="00BE531C" w:rsidRPr="000E0160" w:rsidRDefault="000E0160" w:rsidP="000E0160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Melatonin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gibi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diğer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farmakolojik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seçenekleri</w:t>
            </w:r>
            <w:proofErr w:type="spellEnd"/>
            <w:r w:rsidRPr="000E016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yerel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lisans</w:t>
            </w:r>
            <w:r w:rsidR="003D0DE7"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D0DE7"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</w:t>
            </w:r>
            <w:proofErr w:type="spellEnd"/>
            <w:r w:rsidR="003D0DE7"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bulunabilirliğ</w:t>
            </w:r>
            <w:r w:rsidR="003D0DE7"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</w:t>
            </w:r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bağlı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3D0DE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)-</w:t>
            </w:r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İngiltere’deki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farmakolojik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öneriler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25" w:history="1">
              <w:proofErr w:type="spellStart"/>
              <w:r w:rsidRPr="00606202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bu</w:t>
              </w:r>
              <w:proofErr w:type="spellEnd"/>
              <w:r w:rsidRPr="00606202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606202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belgeye</w:t>
              </w:r>
              <w:proofErr w:type="spellEnd"/>
            </w:hyperlink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bakınız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DD7145" w:rsidRPr="005F1396" w14:paraId="16A6E09F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F5876CD" w14:textId="5193FF23" w:rsidR="00331AAF" w:rsidRDefault="00331AAF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Anksiyete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bozuklukları</w:t>
            </w:r>
            <w:proofErr w:type="spellEnd"/>
          </w:p>
          <w:p w14:paraId="11B53E9B" w14:textId="496D5DE0" w:rsidR="001F17E4" w:rsidRPr="005F1396" w:rsidRDefault="001F17E4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6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link10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0549443" w14:textId="37C8A2F0" w:rsidR="006E01E4" w:rsidRDefault="006E01E4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bozukluklarının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tedavisi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öneriler</w:t>
            </w:r>
            <w:proofErr w:type="spellEnd"/>
          </w:p>
          <w:p w14:paraId="781968AC" w14:textId="77777777" w:rsidR="006E01E4" w:rsidRDefault="006E01E4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01D1816E" w14:textId="2744C155" w:rsidR="006E01E4" w:rsidRDefault="006E01E4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bozukluklarının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tedavisinde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benzodiazepinler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sadece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kısa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süreli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aralıklı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06202"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="00606202"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20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kullanılmalıdır</w:t>
            </w:r>
            <w:proofErr w:type="spellEnd"/>
            <w:r w:rsidRPr="006062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0697FBF0" w14:textId="77777777" w:rsidR="006E01E4" w:rsidRDefault="006E01E4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FA8CCC7" w14:textId="0713D862" w:rsidR="006E01E4" w:rsidRDefault="006E01E4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lastRenderedPageBreak/>
              <w:t>Genellikle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üç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yanıt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vermemiş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kullanılır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Bu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ğer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etkisiz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gösterildikten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sürekli</w:t>
            </w:r>
            <w:proofErr w:type="spellEnd"/>
            <w:r w:rsidR="006062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062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ağı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sıkıntı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işlevsellikte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bozulmaya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belirtileri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uzun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süreli</w:t>
            </w:r>
            <w:proofErr w:type="spellEnd"/>
            <w:r w:rsidRPr="006E01E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14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kullanımı</w:t>
            </w:r>
            <w:proofErr w:type="spellEnd"/>
            <w:r w:rsidR="00BA14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14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düşünülebilir</w:t>
            </w:r>
            <w:proofErr w:type="spellEnd"/>
            <w:r w:rsidR="00BA14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3EAAA4C8" w14:textId="77777777" w:rsidR="009F4B1A" w:rsidRDefault="009F4B1A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3805064" w14:textId="6A82F9AB" w:rsidR="009F4B1A" w:rsidRDefault="009F4B1A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Belirgin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semptomları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varlığı</w:t>
            </w:r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nda</w:t>
            </w:r>
            <w:proofErr w:type="spellEnd"/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ilacın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kesilmesi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semptomları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kötüleştirebilir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nedenle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başarı</w:t>
            </w:r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yla</w:t>
            </w:r>
            <w:proofErr w:type="spellEnd"/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sonuçlanma</w:t>
            </w:r>
            <w:proofErr w:type="spellEnd"/>
            <w:r w:rsid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olasılığı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düşüktür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r w:rsidRPr="008822BC"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Bununla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birlikte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semptomlar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makul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ölçüde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kontrol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altına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alındığında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stabil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7331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hale </w:t>
            </w:r>
            <w:proofErr w:type="spellStart"/>
            <w:r w:rsidR="007331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geldiğinde</w:t>
            </w:r>
            <w:proofErr w:type="spellEnd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ilacı</w:t>
            </w:r>
            <w:proofErr w:type="spellEnd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dikkatli</w:t>
            </w:r>
            <w:proofErr w:type="spellEnd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3B55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kesmeye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çalışmak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mümkün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olabilir</w:t>
            </w:r>
            <w:proofErr w:type="spellEnd"/>
            <w:r w:rsidRPr="009F4B1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1A34CD8E" w14:textId="77777777" w:rsidR="007331A4" w:rsidRDefault="007331A4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68DD7EC" w14:textId="49A613AA" w:rsidR="007331A4" w:rsidRDefault="007331A4" w:rsidP="007331A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hastalarında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reçete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edilirken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COVID-19'un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semptomlarının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hızla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gelişebileceği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akılda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tutulmalıdır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 B</w:t>
            </w:r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nedenle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düzenli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izleyerek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sıkıntısı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gelişmesi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halinde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ilacın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kesilmesine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yönelik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oluşturulmalıdır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4EF574A" w14:textId="77777777" w:rsidR="007331A4" w:rsidRDefault="007331A4" w:rsidP="007331A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  <w:p w14:paraId="4CF49FA7" w14:textId="2E98F6D2" w:rsidR="007331A4" w:rsidRPr="007C1ABF" w:rsidRDefault="007331A4" w:rsidP="007331A4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Bununla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birlikte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süreli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ilacın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kızlı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kesilmesi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ortaya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çıkabilecek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rebound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anksiyete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riski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göz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önünde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tutularak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karar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verilmelidir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Bununla</w:t>
            </w:r>
            <w:proofErr w:type="spellEnd"/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</w:t>
            </w:r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şağıdaki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diğer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önerilere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3659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bakınız</w:t>
            </w:r>
            <w:proofErr w:type="spellEnd"/>
            <w:r w:rsidR="00AC189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712F68EB" w14:textId="61DCA458" w:rsidR="00BE531C" w:rsidRPr="005F1396" w:rsidRDefault="00BE531C" w:rsidP="00AC1890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6C359C93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11E86D1C" w14:textId="443E84B6" w:rsidR="00AC1890" w:rsidRPr="005F1396" w:rsidRDefault="008822BC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Akut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ajitasyon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hızlı</w:t>
            </w:r>
            <w:proofErr w:type="spellEnd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trankilizasyon</w:t>
            </w:r>
            <w:proofErr w:type="spellEnd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amacıyla</w:t>
            </w:r>
            <w:proofErr w:type="spellEnd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benzodiazepin</w:t>
            </w:r>
            <w:proofErr w:type="spellEnd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C18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kullanımı</w:t>
            </w:r>
            <w:proofErr w:type="spellEnd"/>
          </w:p>
          <w:p w14:paraId="5E15E607" w14:textId="5371948B" w:rsidR="00AC59C3" w:rsidRDefault="00AC59C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7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F597E4E" w14:textId="77777777" w:rsidR="006A3928" w:rsidRDefault="00EC1F02" w:rsidP="00556ECC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6A3928" w:rsidRPr="006A392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</w:t>
              </w:r>
              <w:r w:rsidR="006A3928" w:rsidRPr="006A392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</w:t>
              </w:r>
              <w:r w:rsidR="006A3928" w:rsidRPr="006A392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3]</w:t>
              </w:r>
            </w:hyperlink>
          </w:p>
          <w:p w14:paraId="7E93D5BE" w14:textId="4787484E" w:rsidR="00E75D89" w:rsidRDefault="00E75D89" w:rsidP="00556ECC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9" w:history="1">
              <w:r w:rsidRPr="00E75D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[link14]</w:t>
              </w:r>
            </w:hyperlink>
          </w:p>
          <w:p w14:paraId="36CBD64C" w14:textId="1939A9CA" w:rsidR="00E75D89" w:rsidRPr="005F1396" w:rsidRDefault="00E75D8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0" w:history="1">
              <w:r w:rsidRPr="00E75D89">
                <w:rPr>
                  <w:rStyle w:val="Hyperlink"/>
                </w:rPr>
                <w:t>[ink15]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B54DA37" w14:textId="658127C0" w:rsidR="004A6B61" w:rsidRPr="004A6B61" w:rsidRDefault="004A6B61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COVID-1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9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şüphesi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tanısı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konmuş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nın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akut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ajitasyonu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solunumda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bozulma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hızında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azalma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artma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)</w:t>
            </w:r>
            <w:r w:rsid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,</w:t>
            </w:r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kardiyovasküler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hastalık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bilinç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bozukluğu</w:t>
            </w:r>
            <w:proofErr w:type="spellEnd"/>
            <w:r w:rsidR="008822BC"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belirtisi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yoksa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benzodiazepinler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dahil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olmak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üzere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medikal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dikkatli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olmak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koşuluyla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kullanılabilir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54CC4223" w14:textId="77777777" w:rsid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F44C46C" w14:textId="4E374D86" w:rsidR="00AC59C3" w:rsidRDefault="004A6B61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Hastada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akut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pulmoner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yetmezlik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varsa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benzodiazepinler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kullanılmamalıdır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BEB6876" w14:textId="77777777" w:rsidR="004A6B61" w:rsidRDefault="004A6B61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  <w:p w14:paraId="01135069" w14:textId="415D1DB1" w:rsidR="004A6B61" w:rsidRPr="004A6B61" w:rsidRDefault="004A6B61" w:rsidP="004A6B61">
            <w:pPr>
              <w:pStyle w:val="ListParagraph"/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tıbbi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durumu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hızla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kötüleşebileceğinden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mümkün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olduğunca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kısa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etkili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(lorazepam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E28D5B4" w14:textId="22BB9C4D" w:rsidR="004A6B61" w:rsidRPr="008822BC" w:rsidRDefault="004A6B61" w:rsidP="004A6B61">
            <w:pPr>
              <w:pStyle w:val="ListParagraph"/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Oral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tercih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</w:t>
            </w:r>
            <w:r w:rsidR="008822BC"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meli</w:t>
            </w:r>
            <w:proofErr w:type="spellEnd"/>
            <w:r w:rsidR="008822BC" w:rsidRP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hastaya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ilk </w:t>
            </w:r>
            <w:proofErr w:type="spellStart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seçenek</w:t>
            </w:r>
            <w:proofErr w:type="spellEnd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bunlar</w:t>
            </w:r>
            <w:proofErr w:type="spellEnd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önerilmelidir</w:t>
            </w:r>
            <w:proofErr w:type="spellEnd"/>
            <w:r w:rsidRPr="008822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A9AB4F7" w14:textId="38C1456D" w:rsidR="004A6B61" w:rsidRPr="004A6B61" w:rsidRDefault="004A6B61" w:rsidP="004A6B61">
            <w:pPr>
              <w:pStyle w:val="ListParagraph"/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Parenteral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ilaçların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doza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bağlı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yan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etkilere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olasılığı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daha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yüksektir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88BD734" w14:textId="1267E9E7" w:rsidR="004A6B61" w:rsidRPr="004A6B61" w:rsidRDefault="004A6B61" w:rsidP="004A6B61">
            <w:pPr>
              <w:pStyle w:val="ListParagraph"/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Benzodiazepinler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verilirse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ihtiyaç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flumazenile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derhal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ulaşılabileceğinden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emin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olun</w:t>
            </w:r>
            <w:r w:rsidR="008822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malıdır</w:t>
            </w:r>
            <w:proofErr w:type="spellEnd"/>
            <w:r w:rsidRPr="004A6B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71A31074" w14:textId="1DF17EDE" w:rsidR="00AC59C3" w:rsidRPr="00AC59C3" w:rsidRDefault="00AC59C3" w:rsidP="004A6B61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7BB3677" w14:textId="77777777" w:rsidR="00AC59C3" w:rsidRP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D42A018" w14:textId="4F4B6708" w:rsidR="004A6B61" w:rsidRDefault="004A6B61" w:rsidP="004A6B61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hastalarında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ilaçlar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reçete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edilirken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COVID-19'un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semptomlarının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hızla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gelişebileceği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akılda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tutulmalıdır</w:t>
            </w:r>
            <w:proofErr w:type="spellEnd"/>
            <w:r w:rsidR="006C178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 B</w:t>
            </w:r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nedenle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düzenli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izleyerek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sıkıntısı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gelişmesi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halinde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Z-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grubu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ilacın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kesilmesine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yönelik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oluşturulmalıdır</w:t>
            </w:r>
            <w:proofErr w:type="spellEnd"/>
            <w:r w:rsidRPr="007C1AB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4C88BB3" w14:textId="77777777" w:rsid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393A8397" w14:textId="4B0A2EC9" w:rsidR="00BE531C" w:rsidRDefault="00B67568" w:rsidP="00B67568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Benzodiazepinler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bağlamında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palyatif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bakım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2BC"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hastaları</w:t>
            </w:r>
            <w:proofErr w:type="spellEnd"/>
            <w:r w:rsidR="008822BC"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olmak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üzere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ajitasyon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deliryumun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tedavisinde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kullanılabilir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Pr="004B336A"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Yine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lorazepam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kısa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etkili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ilaçlar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edilmeli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yukarıdaki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hususlar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alınmalıdır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7EBFF7C3" w14:textId="77777777" w:rsidR="006A3928" w:rsidRDefault="006A3928" w:rsidP="00B67568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2590FE62" w14:textId="6A050822" w:rsidR="006A3928" w:rsidRPr="006A3928" w:rsidRDefault="006A3928" w:rsidP="00B67568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Benzodiazepinler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solunumu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baskılayabileceğinden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COVID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deliryumunda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haloperidol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edilebilir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Antipsikotikler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kullanımının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kontrendike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deliryum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lisanslı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olmasa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düşük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doz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lorazepam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kullanılabilir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Gerekli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olması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flumazenil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reçete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6A39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44E8E74B" w14:textId="3227BAEA" w:rsidR="00B67568" w:rsidRPr="00B67568" w:rsidRDefault="00B67568" w:rsidP="00B67568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C59C3" w:rsidRPr="005F1396" w14:paraId="687CF8EB" w14:textId="77777777" w:rsidTr="00AC59C3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246"/>
          </w:tcPr>
          <w:p w14:paraId="54F8D129" w14:textId="3B287C1C" w:rsidR="00AC59C3" w:rsidRPr="004B336A" w:rsidRDefault="004866C0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Benzodiazepinlerin</w:t>
            </w:r>
            <w:proofErr w:type="spellEnd"/>
            <w:r w:rsidRPr="004B336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336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kesilmesi</w:t>
            </w:r>
            <w:proofErr w:type="spellEnd"/>
          </w:p>
        </w:tc>
      </w:tr>
      <w:tr w:rsidR="00DD7145" w:rsidRPr="005F1396" w14:paraId="3718C49F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5195A5AF" w14:textId="07DDB379" w:rsidR="004866C0" w:rsidRPr="005F1396" w:rsidRDefault="004866C0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Benzodiazepinleri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keserken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ikkat</w:t>
            </w:r>
            <w:proofErr w:type="spellEnd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edilmesi</w:t>
            </w:r>
            <w:proofErr w:type="spellEnd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1F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</w:p>
          <w:p w14:paraId="02C320C3" w14:textId="07614608" w:rsidR="00A360B0" w:rsidRPr="005F1396" w:rsidRDefault="00AC59C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1" w:history="1">
              <w:r w:rsidR="00E870C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link12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09634BC" w14:textId="19907709" w:rsidR="00EC1F8F" w:rsidRDefault="00EC1F8F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Uzun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süreli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kullanımdan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so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nra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benzodiazepinlerin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aniden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kesilmesi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ağrısı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kas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ağrısı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yoğun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gerginlik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huzursuzluk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konfüzyon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irritabilite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yoksunluk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semptomlarına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yol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açabilir</w:t>
            </w:r>
            <w:proofErr w:type="spellEnd"/>
            <w:r w:rsidRPr="00EC1F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="001423B5"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Ağır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vakalarda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şu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belirtiler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ortaya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çıkabilir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derealizasyon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depersonalizasyon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hiperakuzi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ekstremitelerde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uyuşma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karıncalanma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ışığa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sese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15C1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dokunma</w:t>
            </w:r>
            <w:proofErr w:type="spellEnd"/>
            <w:r w:rsidR="008415C1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1423B5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temasa</w:t>
            </w:r>
            <w:proofErr w:type="spellEnd"/>
            <w:r w:rsidR="004B336A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336A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 w:rsidR="001423B5" w:rsidRPr="004B33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aşırı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duyarlılık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halüsinasyonlar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epileptik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nöbetler</w:t>
            </w:r>
            <w:proofErr w:type="spellEnd"/>
            <w:r w:rsidR="001423B5" w:rsidRPr="008415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15896D2D" w14:textId="77777777" w:rsidR="006E1B9A" w:rsidRDefault="006E1B9A" w:rsidP="00AC59C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542E0773" w14:textId="44920003" w:rsidR="006E1B9A" w:rsidRPr="00C7793A" w:rsidRDefault="006E1B9A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Rebound insomnia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görülebilir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Duygudurum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değişiklikleri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uyku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bozuklukl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huzursuzluk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diğer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semptomlar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eşlik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edebilir</w:t>
            </w:r>
            <w:proofErr w:type="spellEnd"/>
            <w:r w:rsidRPr="006E1B9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C7793A"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Tedavinin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aniden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kesilmesi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 w:rsidRP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sonra</w:t>
            </w:r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sında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yoksunluk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geri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çekilme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belirtileri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sık</w:t>
            </w:r>
            <w:proofErr w:type="spellEnd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görüldüğünden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30DAF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ilaç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dozunun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kademeli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azaltılması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önerilir</w:t>
            </w:r>
            <w:proofErr w:type="spellEnd"/>
            <w:r w:rsidR="00C7793A" w:rsidRPr="00C7793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55C61E03" w14:textId="1410F3DE" w:rsidR="00BE531C" w:rsidRPr="005F1396" w:rsidRDefault="00BE531C" w:rsidP="00C7793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18C15AD8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2DFD5D21" w14:textId="590B0678" w:rsidR="00A360B0" w:rsidRPr="00E870CA" w:rsidRDefault="00FB107B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İlaç</w:t>
            </w:r>
            <w:proofErr w:type="spellEnd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dozu</w:t>
            </w:r>
            <w:proofErr w:type="spellEnd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DA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azaltılmalı</w:t>
            </w:r>
            <w:proofErr w:type="spellEnd"/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1E8AB695" w14:textId="781A1A82" w:rsidR="00237667" w:rsidRPr="00430DAF" w:rsidRDefault="00237667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İlacı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keserken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uygulanabilecek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potansiyel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iki</w:t>
            </w:r>
            <w:proofErr w:type="spellEnd"/>
            <w:r w:rsidR="00430DAF"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yaklaşım</w:t>
            </w:r>
            <w:proofErr w:type="spellEnd"/>
            <w:r w:rsidR="00430DAF"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;</w:t>
            </w:r>
            <w:r w:rsidRPr="00430DA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kiş</w:t>
            </w:r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inin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mevcut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Z-</w:t>
            </w:r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grubu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ilaç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dozunun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yavaşça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azaltılması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önce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eşdeğer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dozda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diazepama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geçerek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sonrasında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diazepamın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kademeli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kesilmesidir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53347C1F" w14:textId="77777777" w:rsidR="00AC59C3" w:rsidRP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F8A99F0" w14:textId="1988201F" w:rsidR="00AC59C3" w:rsidRPr="00430DAF" w:rsidRDefault="004D702E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Ş</w:t>
            </w:r>
            <w:r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kişilerde</w:t>
            </w:r>
            <w:proofErr w:type="spellEnd"/>
            <w:r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</w:t>
            </w:r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iazepama</w:t>
            </w:r>
            <w:proofErr w:type="spellEnd"/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geçiş</w:t>
            </w:r>
            <w:proofErr w:type="spellEnd"/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düşünülmelidir</w:t>
            </w:r>
            <w:proofErr w:type="spellEnd"/>
            <w:r w:rsidR="00237667" w:rsidRPr="00430D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0EAF6977" w14:textId="77777777" w:rsidR="00237667" w:rsidRDefault="00237667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7A6DC4C8" w14:textId="410B6CAA" w:rsidR="00237667" w:rsidRPr="00904DDD" w:rsidRDefault="00237667" w:rsidP="00904DDD">
            <w:pPr>
              <w:pStyle w:val="ListParagraph"/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Kısa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etkili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potent</w:t>
            </w:r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benzodiazepin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(alprazolam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lorazepam)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kullananlar</w:t>
            </w:r>
            <w:proofErr w:type="spellEnd"/>
          </w:p>
          <w:p w14:paraId="6A415806" w14:textId="3ED8FDF3" w:rsidR="00904DDD" w:rsidRPr="00904DDD" w:rsidRDefault="00187753" w:rsidP="00904DDD">
            <w:pPr>
              <w:pStyle w:val="ListParagraph"/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İlaç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dozun</w:t>
            </w:r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</w:t>
            </w:r>
            <w:proofErr w:type="spellEnd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0D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ufak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düşüşler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yapmanın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kolay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preparatlar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(alprazolam, flurazepam, loprazolam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lormetazepam) </w:t>
            </w:r>
            <w:proofErr w:type="spellStart"/>
            <w:r w:rsidRPr="00904D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kullananlar</w:t>
            </w:r>
            <w:proofErr w:type="spellEnd"/>
          </w:p>
          <w:p w14:paraId="4C78CA2C" w14:textId="3245A217" w:rsidR="00A86EDA" w:rsidRPr="004D702E" w:rsidRDefault="00A86EDA" w:rsidP="00904DDD">
            <w:pPr>
              <w:pStyle w:val="ListParagraph"/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derecede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bağımlılık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uzun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süreli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anksiyete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öyküsü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ilişkili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="004D702E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temazepam, nitrazepam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</w:t>
            </w:r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doğrudan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kesilmesi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güçlük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yaşayan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yaşaması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muhtemel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4DDD" w:rsidRPr="004D70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kişiler</w:t>
            </w:r>
            <w:proofErr w:type="spellEnd"/>
          </w:p>
          <w:p w14:paraId="1F0DE823" w14:textId="77777777" w:rsidR="00AC59C3" w:rsidRP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66FFCDC" w14:textId="1DE6D68D" w:rsidR="00557DF1" w:rsidRPr="00F53E83" w:rsidRDefault="00F00576" w:rsidP="00F53E8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Doz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kademeli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azaltılmalıdır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(1-2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haftada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% 5-10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iki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haftada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dozun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sekizde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biri</w:t>
            </w:r>
            <w:proofErr w:type="spellEnd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kadar</w:t>
            </w:r>
            <w:proofErr w:type="spellEnd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dozun</w:t>
            </w:r>
            <w:proofErr w:type="spellEnd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azaltılması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düşük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dozlarda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yavaş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azaltılmalıdır</w:t>
            </w:r>
            <w:proofErr w:type="spellEnd"/>
            <w:r w:rsidR="00FB107B" w:rsidRPr="004D702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  <w:r w:rsidR="00FB107B" w:rsidRPr="004D702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yoksunluk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semptomlarının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şiddetine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ayarlanmalıdır</w:t>
            </w:r>
            <w:proofErr w:type="spellEnd"/>
            <w:r w:rsidRPr="00F0057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</w:tc>
      </w:tr>
      <w:tr w:rsidR="00AC59C3" w:rsidRPr="005F1396" w14:paraId="1B1BF842" w14:textId="77777777" w:rsidTr="00AC59C3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3F3FF"/>
          </w:tcPr>
          <w:p w14:paraId="541881C4" w14:textId="77777777" w:rsidR="00AC59C3" w:rsidRPr="00AC59C3" w:rsidRDefault="00AC59C3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3F3FF"/>
          </w:tcPr>
          <w:p w14:paraId="4B37148B" w14:textId="77777777" w:rsidR="00AC59C3" w:rsidRPr="00AC59C3" w:rsidRDefault="00AC59C3" w:rsidP="00AC59C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7BEF29D7" w14:textId="34B963E0" w:rsidR="003E2D52" w:rsidRPr="005F1396" w:rsidRDefault="003E2D52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sectPr w:rsidR="003E2D52" w:rsidRPr="005F1396" w:rsidSect="007134B1">
      <w:footerReference w:type="even" r:id="rId32"/>
      <w:footerReference w:type="default" r:id="rId33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06F6" w14:textId="77777777" w:rsidR="00EC1F02" w:rsidRDefault="00EC1F02" w:rsidP="005414C1">
      <w:pPr>
        <w:spacing w:after="0" w:line="240" w:lineRule="auto"/>
      </w:pPr>
      <w:r>
        <w:separator/>
      </w:r>
    </w:p>
  </w:endnote>
  <w:endnote w:type="continuationSeparator" w:id="0">
    <w:p w14:paraId="134D8406" w14:textId="77777777" w:rsidR="00EC1F02" w:rsidRDefault="00EC1F02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009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D4CA6" w14:textId="673B6736" w:rsidR="007134B1" w:rsidRDefault="007134B1" w:rsidP="006F04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B4BF1" w14:textId="77777777" w:rsidR="007134B1" w:rsidRDefault="007134B1" w:rsidP="00713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7130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03577" w14:textId="1019D99E" w:rsidR="007134B1" w:rsidRDefault="007134B1" w:rsidP="006F04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392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9C048A9" w14:textId="77777777" w:rsidR="007134B1" w:rsidRDefault="007134B1" w:rsidP="00713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76AA" w14:textId="77777777" w:rsidR="00EC1F02" w:rsidRDefault="00EC1F02" w:rsidP="005414C1">
      <w:pPr>
        <w:spacing w:after="0" w:line="240" w:lineRule="auto"/>
      </w:pPr>
      <w:r>
        <w:separator/>
      </w:r>
    </w:p>
  </w:footnote>
  <w:footnote w:type="continuationSeparator" w:id="0">
    <w:p w14:paraId="78AB9ACB" w14:textId="77777777" w:rsidR="00EC1F02" w:rsidRDefault="00EC1F02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5EB"/>
    <w:multiLevelType w:val="hybridMultilevel"/>
    <w:tmpl w:val="B15A708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14025"/>
    <w:multiLevelType w:val="hybridMultilevel"/>
    <w:tmpl w:val="024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8FE"/>
    <w:multiLevelType w:val="hybridMultilevel"/>
    <w:tmpl w:val="1880632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8365A"/>
    <w:multiLevelType w:val="hybridMultilevel"/>
    <w:tmpl w:val="B42ED2D0"/>
    <w:lvl w:ilvl="0" w:tplc="3F60D6B4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7A32"/>
    <w:multiLevelType w:val="hybridMultilevel"/>
    <w:tmpl w:val="20826E0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FA1C57"/>
    <w:multiLevelType w:val="hybridMultilevel"/>
    <w:tmpl w:val="E60CD6F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C90645"/>
    <w:multiLevelType w:val="hybridMultilevel"/>
    <w:tmpl w:val="86C473F4"/>
    <w:lvl w:ilvl="0" w:tplc="3F60D6B4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737"/>
    <w:multiLevelType w:val="hybridMultilevel"/>
    <w:tmpl w:val="B078753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617322"/>
    <w:multiLevelType w:val="multilevel"/>
    <w:tmpl w:val="8616A12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1099"/>
    <w:multiLevelType w:val="hybridMultilevel"/>
    <w:tmpl w:val="C8469E7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1673D"/>
    <w:multiLevelType w:val="multilevel"/>
    <w:tmpl w:val="B612728A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00D5B"/>
    <w:multiLevelType w:val="hybridMultilevel"/>
    <w:tmpl w:val="F770472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37076F"/>
    <w:multiLevelType w:val="hybridMultilevel"/>
    <w:tmpl w:val="B25890C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C77FB"/>
    <w:multiLevelType w:val="hybridMultilevel"/>
    <w:tmpl w:val="672A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376AA"/>
    <w:multiLevelType w:val="multilevel"/>
    <w:tmpl w:val="390CFEF6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D5BED"/>
    <w:multiLevelType w:val="hybridMultilevel"/>
    <w:tmpl w:val="B7D60244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D3CCF"/>
    <w:multiLevelType w:val="hybridMultilevel"/>
    <w:tmpl w:val="39D0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05F5"/>
    <w:multiLevelType w:val="hybridMultilevel"/>
    <w:tmpl w:val="6C32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1801"/>
    <w:multiLevelType w:val="hybridMultilevel"/>
    <w:tmpl w:val="1B1C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65AA"/>
    <w:multiLevelType w:val="hybridMultilevel"/>
    <w:tmpl w:val="FC8E5DA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4D0456"/>
    <w:multiLevelType w:val="hybridMultilevel"/>
    <w:tmpl w:val="0B4CCB0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94716A"/>
    <w:multiLevelType w:val="multilevel"/>
    <w:tmpl w:val="9E523592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009EE"/>
    <w:multiLevelType w:val="multilevel"/>
    <w:tmpl w:val="4BA08A40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53CBA"/>
    <w:multiLevelType w:val="hybridMultilevel"/>
    <w:tmpl w:val="C78A8CB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649AB"/>
    <w:multiLevelType w:val="hybridMultilevel"/>
    <w:tmpl w:val="83C8F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82147"/>
    <w:multiLevelType w:val="hybridMultilevel"/>
    <w:tmpl w:val="CCFED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9C2032"/>
    <w:multiLevelType w:val="hybridMultilevel"/>
    <w:tmpl w:val="19FA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0229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E6381"/>
    <w:multiLevelType w:val="hybridMultilevel"/>
    <w:tmpl w:val="2350239E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7E3D"/>
    <w:multiLevelType w:val="hybridMultilevel"/>
    <w:tmpl w:val="8A2657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148C7"/>
    <w:multiLevelType w:val="multilevel"/>
    <w:tmpl w:val="75DC056A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51039"/>
    <w:multiLevelType w:val="hybridMultilevel"/>
    <w:tmpl w:val="2F04FC1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BB4AAF"/>
    <w:multiLevelType w:val="multilevel"/>
    <w:tmpl w:val="C7AC8B8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D37B5"/>
    <w:multiLevelType w:val="hybridMultilevel"/>
    <w:tmpl w:val="949EE77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BB0CB5"/>
    <w:multiLevelType w:val="hybridMultilevel"/>
    <w:tmpl w:val="36F484D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0015EC"/>
    <w:multiLevelType w:val="hybridMultilevel"/>
    <w:tmpl w:val="47D2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7B9E"/>
    <w:multiLevelType w:val="hybridMultilevel"/>
    <w:tmpl w:val="4CF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BF3FCF"/>
    <w:multiLevelType w:val="hybridMultilevel"/>
    <w:tmpl w:val="5386CC9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FE2BA1"/>
    <w:multiLevelType w:val="hybridMultilevel"/>
    <w:tmpl w:val="DDB05B3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5"/>
  </w:num>
  <w:num w:numId="3">
    <w:abstractNumId w:val="19"/>
  </w:num>
  <w:num w:numId="4">
    <w:abstractNumId w:val="37"/>
  </w:num>
  <w:num w:numId="5">
    <w:abstractNumId w:val="36"/>
  </w:num>
  <w:num w:numId="6">
    <w:abstractNumId w:val="5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30"/>
  </w:num>
  <w:num w:numId="12">
    <w:abstractNumId w:val="33"/>
  </w:num>
  <w:num w:numId="13">
    <w:abstractNumId w:val="32"/>
  </w:num>
  <w:num w:numId="14">
    <w:abstractNumId w:val="8"/>
  </w:num>
  <w:num w:numId="15">
    <w:abstractNumId w:val="21"/>
  </w:num>
  <w:num w:numId="16">
    <w:abstractNumId w:val="22"/>
  </w:num>
  <w:num w:numId="17">
    <w:abstractNumId w:val="14"/>
  </w:num>
  <w:num w:numId="18">
    <w:abstractNumId w:val="31"/>
  </w:num>
  <w:num w:numId="19">
    <w:abstractNumId w:val="10"/>
  </w:num>
  <w:num w:numId="20">
    <w:abstractNumId w:val="2"/>
  </w:num>
  <w:num w:numId="21">
    <w:abstractNumId w:val="29"/>
  </w:num>
  <w:num w:numId="22">
    <w:abstractNumId w:val="3"/>
  </w:num>
  <w:num w:numId="23">
    <w:abstractNumId w:val="0"/>
  </w:num>
  <w:num w:numId="24">
    <w:abstractNumId w:val="15"/>
  </w:num>
  <w:num w:numId="25">
    <w:abstractNumId w:val="12"/>
  </w:num>
  <w:num w:numId="26">
    <w:abstractNumId w:val="1"/>
  </w:num>
  <w:num w:numId="27">
    <w:abstractNumId w:val="13"/>
  </w:num>
  <w:num w:numId="28">
    <w:abstractNumId w:val="9"/>
  </w:num>
  <w:num w:numId="29">
    <w:abstractNumId w:val="27"/>
  </w:num>
  <w:num w:numId="30">
    <w:abstractNumId w:val="24"/>
  </w:num>
  <w:num w:numId="31">
    <w:abstractNumId w:val="23"/>
  </w:num>
  <w:num w:numId="32">
    <w:abstractNumId w:val="6"/>
  </w:num>
  <w:num w:numId="33">
    <w:abstractNumId w:val="18"/>
  </w:num>
  <w:num w:numId="34">
    <w:abstractNumId w:val="17"/>
  </w:num>
  <w:num w:numId="35">
    <w:abstractNumId w:val="26"/>
  </w:num>
  <w:num w:numId="36">
    <w:abstractNumId w:val="25"/>
  </w:num>
  <w:num w:numId="37">
    <w:abstractNumId w:val="16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en-GB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6EC1"/>
    <w:rsid w:val="00007925"/>
    <w:rsid w:val="00030A3D"/>
    <w:rsid w:val="00035346"/>
    <w:rsid w:val="000838F1"/>
    <w:rsid w:val="000A6B77"/>
    <w:rsid w:val="000B4E2F"/>
    <w:rsid w:val="000C2F04"/>
    <w:rsid w:val="000D7AE1"/>
    <w:rsid w:val="000E0160"/>
    <w:rsid w:val="000E6DF9"/>
    <w:rsid w:val="000F7E38"/>
    <w:rsid w:val="001249C1"/>
    <w:rsid w:val="0012717D"/>
    <w:rsid w:val="00131D51"/>
    <w:rsid w:val="00136866"/>
    <w:rsid w:val="001423B5"/>
    <w:rsid w:val="00187753"/>
    <w:rsid w:val="001A30CB"/>
    <w:rsid w:val="001E1AEC"/>
    <w:rsid w:val="001F17E4"/>
    <w:rsid w:val="001F62C5"/>
    <w:rsid w:val="00203920"/>
    <w:rsid w:val="00214D30"/>
    <w:rsid w:val="00237667"/>
    <w:rsid w:val="002919EC"/>
    <w:rsid w:val="0029236D"/>
    <w:rsid w:val="002A4F98"/>
    <w:rsid w:val="002C0876"/>
    <w:rsid w:val="002D1FFB"/>
    <w:rsid w:val="003062DA"/>
    <w:rsid w:val="00331AAF"/>
    <w:rsid w:val="0034708D"/>
    <w:rsid w:val="0036050D"/>
    <w:rsid w:val="0036064F"/>
    <w:rsid w:val="003659FC"/>
    <w:rsid w:val="00387E13"/>
    <w:rsid w:val="00396D0C"/>
    <w:rsid w:val="003A61E1"/>
    <w:rsid w:val="003A6E68"/>
    <w:rsid w:val="003B559A"/>
    <w:rsid w:val="003C35F3"/>
    <w:rsid w:val="003D0DE7"/>
    <w:rsid w:val="003D48E3"/>
    <w:rsid w:val="003E2D52"/>
    <w:rsid w:val="004270D7"/>
    <w:rsid w:val="00430DAF"/>
    <w:rsid w:val="0043651A"/>
    <w:rsid w:val="00454033"/>
    <w:rsid w:val="004642FD"/>
    <w:rsid w:val="00465A19"/>
    <w:rsid w:val="00466707"/>
    <w:rsid w:val="00473BD1"/>
    <w:rsid w:val="004866C0"/>
    <w:rsid w:val="00496568"/>
    <w:rsid w:val="004A1683"/>
    <w:rsid w:val="004A4083"/>
    <w:rsid w:val="004A667C"/>
    <w:rsid w:val="004A6B61"/>
    <w:rsid w:val="004B336A"/>
    <w:rsid w:val="004D29B3"/>
    <w:rsid w:val="004D3C4C"/>
    <w:rsid w:val="004D702E"/>
    <w:rsid w:val="00510C38"/>
    <w:rsid w:val="00535645"/>
    <w:rsid w:val="005414C1"/>
    <w:rsid w:val="00547037"/>
    <w:rsid w:val="00551EB8"/>
    <w:rsid w:val="0055362F"/>
    <w:rsid w:val="00556ECC"/>
    <w:rsid w:val="00557DF1"/>
    <w:rsid w:val="00561D2C"/>
    <w:rsid w:val="00567488"/>
    <w:rsid w:val="00595D26"/>
    <w:rsid w:val="005A2551"/>
    <w:rsid w:val="005C0539"/>
    <w:rsid w:val="005C0F35"/>
    <w:rsid w:val="005F1396"/>
    <w:rsid w:val="005F3A92"/>
    <w:rsid w:val="005F582B"/>
    <w:rsid w:val="00606202"/>
    <w:rsid w:val="00682B04"/>
    <w:rsid w:val="0068483E"/>
    <w:rsid w:val="006A2B82"/>
    <w:rsid w:val="006A3928"/>
    <w:rsid w:val="006B5887"/>
    <w:rsid w:val="006C1785"/>
    <w:rsid w:val="006D1318"/>
    <w:rsid w:val="006E01E4"/>
    <w:rsid w:val="006E1B9A"/>
    <w:rsid w:val="006F67EE"/>
    <w:rsid w:val="007134B1"/>
    <w:rsid w:val="00722151"/>
    <w:rsid w:val="007331A4"/>
    <w:rsid w:val="00743168"/>
    <w:rsid w:val="0075262E"/>
    <w:rsid w:val="00762C9F"/>
    <w:rsid w:val="00767ACF"/>
    <w:rsid w:val="007700FE"/>
    <w:rsid w:val="007A0940"/>
    <w:rsid w:val="007B3C2B"/>
    <w:rsid w:val="007B5002"/>
    <w:rsid w:val="007C1ABF"/>
    <w:rsid w:val="007D4C89"/>
    <w:rsid w:val="007E1A39"/>
    <w:rsid w:val="007F11CD"/>
    <w:rsid w:val="008021B0"/>
    <w:rsid w:val="00810629"/>
    <w:rsid w:val="00811A79"/>
    <w:rsid w:val="00813899"/>
    <w:rsid w:val="00825F7E"/>
    <w:rsid w:val="008339A4"/>
    <w:rsid w:val="008415C1"/>
    <w:rsid w:val="0084188C"/>
    <w:rsid w:val="00841BB5"/>
    <w:rsid w:val="00854D19"/>
    <w:rsid w:val="00865D2E"/>
    <w:rsid w:val="008822BC"/>
    <w:rsid w:val="0088338C"/>
    <w:rsid w:val="00891CB3"/>
    <w:rsid w:val="008A0631"/>
    <w:rsid w:val="008A6E54"/>
    <w:rsid w:val="008C6D58"/>
    <w:rsid w:val="008C7ABD"/>
    <w:rsid w:val="008F3F6B"/>
    <w:rsid w:val="00902ED2"/>
    <w:rsid w:val="00904DDD"/>
    <w:rsid w:val="0090782B"/>
    <w:rsid w:val="00916CF2"/>
    <w:rsid w:val="00922110"/>
    <w:rsid w:val="00931CE6"/>
    <w:rsid w:val="00944D67"/>
    <w:rsid w:val="00952DEA"/>
    <w:rsid w:val="0099409F"/>
    <w:rsid w:val="009979B0"/>
    <w:rsid w:val="009B565E"/>
    <w:rsid w:val="009B72C4"/>
    <w:rsid w:val="009D4683"/>
    <w:rsid w:val="009E538D"/>
    <w:rsid w:val="009E5724"/>
    <w:rsid w:val="009F4B1A"/>
    <w:rsid w:val="00A0052F"/>
    <w:rsid w:val="00A063D4"/>
    <w:rsid w:val="00A360B0"/>
    <w:rsid w:val="00A40E59"/>
    <w:rsid w:val="00A861E1"/>
    <w:rsid w:val="00A86EDA"/>
    <w:rsid w:val="00A9779D"/>
    <w:rsid w:val="00AB65AA"/>
    <w:rsid w:val="00AB7961"/>
    <w:rsid w:val="00AC1890"/>
    <w:rsid w:val="00AC446F"/>
    <w:rsid w:val="00AC59C3"/>
    <w:rsid w:val="00AD12E7"/>
    <w:rsid w:val="00B01E2D"/>
    <w:rsid w:val="00B07C04"/>
    <w:rsid w:val="00B133A7"/>
    <w:rsid w:val="00B1509F"/>
    <w:rsid w:val="00B45E14"/>
    <w:rsid w:val="00B67568"/>
    <w:rsid w:val="00B67653"/>
    <w:rsid w:val="00B67FCF"/>
    <w:rsid w:val="00B76879"/>
    <w:rsid w:val="00B9052F"/>
    <w:rsid w:val="00BA141E"/>
    <w:rsid w:val="00BC0ADE"/>
    <w:rsid w:val="00BD38C6"/>
    <w:rsid w:val="00BE531C"/>
    <w:rsid w:val="00BF02B4"/>
    <w:rsid w:val="00C073D5"/>
    <w:rsid w:val="00C104FC"/>
    <w:rsid w:val="00C134AF"/>
    <w:rsid w:val="00C76AEE"/>
    <w:rsid w:val="00C7793A"/>
    <w:rsid w:val="00C9774B"/>
    <w:rsid w:val="00CE1682"/>
    <w:rsid w:val="00CF6A54"/>
    <w:rsid w:val="00D1214D"/>
    <w:rsid w:val="00D372D4"/>
    <w:rsid w:val="00D64F1B"/>
    <w:rsid w:val="00D7471B"/>
    <w:rsid w:val="00D92A12"/>
    <w:rsid w:val="00DA22B5"/>
    <w:rsid w:val="00DA2974"/>
    <w:rsid w:val="00DD7145"/>
    <w:rsid w:val="00DF21CB"/>
    <w:rsid w:val="00DF37A9"/>
    <w:rsid w:val="00DF55C0"/>
    <w:rsid w:val="00E1441A"/>
    <w:rsid w:val="00E40D7E"/>
    <w:rsid w:val="00E5023F"/>
    <w:rsid w:val="00E75D89"/>
    <w:rsid w:val="00E811F3"/>
    <w:rsid w:val="00E870CA"/>
    <w:rsid w:val="00EB1F08"/>
    <w:rsid w:val="00EB450E"/>
    <w:rsid w:val="00EC1F02"/>
    <w:rsid w:val="00EC1F8F"/>
    <w:rsid w:val="00EC4F9E"/>
    <w:rsid w:val="00EC67A7"/>
    <w:rsid w:val="00ED0DC6"/>
    <w:rsid w:val="00EE04C8"/>
    <w:rsid w:val="00EE7D65"/>
    <w:rsid w:val="00F00576"/>
    <w:rsid w:val="00F01E1E"/>
    <w:rsid w:val="00F2606F"/>
    <w:rsid w:val="00F4451C"/>
    <w:rsid w:val="00F53E83"/>
    <w:rsid w:val="00F75021"/>
    <w:rsid w:val="00FA0E1E"/>
    <w:rsid w:val="00FB107B"/>
    <w:rsid w:val="00FD2AB0"/>
    <w:rsid w:val="00FD7DCC"/>
    <w:rsid w:val="00FE74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E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7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E7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cines.org.uk/emc/product/2855" TargetMode="External"/><Relationship Id="rId18" Type="http://schemas.openxmlformats.org/officeDocument/2006/relationships/hyperlink" Target="https://www.candi.nhs.uk/sites/default/files/COVID-19%20and%20Benzodiazepines%20-%20CI.pdf" TargetMode="External"/><Relationship Id="rId26" Type="http://schemas.openxmlformats.org/officeDocument/2006/relationships/hyperlink" Target="https://www.bap.org.uk/pdfs/BAP_Guidelines-Anxiet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nf.org.uk/" TargetMode="External"/><Relationship Id="rId17" Type="http://schemas.openxmlformats.org/officeDocument/2006/relationships/hyperlink" Target="https://onlinelibrary.wiley.com/doi/epdf/10.1002/gps.5048" TargetMode="External"/><Relationship Id="rId25" Type="http://schemas.openxmlformats.org/officeDocument/2006/relationships/hyperlink" Target="https://www.prescqipp.info/media/1340/b175-hypnotics-20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gov.uk/drug-safety-update/benzodiazepines-and-opioids-reminder-of-risk-of-potentially-fatal-respiratory-depression" TargetMode="External"/><Relationship Id="rId20" Type="http://schemas.openxmlformats.org/officeDocument/2006/relationships/hyperlink" Target="https://www.bap.org.uk/pdfs/BAP_Guidelines-Sleep.pdf" TargetMode="External"/><Relationship Id="rId29" Type="http://schemas.openxmlformats.org/officeDocument/2006/relationships/hyperlink" Target="https://www.nice.org.uk/guidance/ng163/chapter/7-Managing-anxiety-delirium-and-agit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xfordhealthbrc.nihr.ac.uk/our-work/oxppl/table-6-benzodiazepines-and-z-drugs-zopiclone-and-zolpidem/" TargetMode="External"/><Relationship Id="rId24" Type="http://schemas.openxmlformats.org/officeDocument/2006/relationships/hyperlink" Target="https://www.nhs.uk/apps-library/sleepio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edicines.org.uk/emc/product/4933" TargetMode="External"/><Relationship Id="rId23" Type="http://schemas.openxmlformats.org/officeDocument/2006/relationships/hyperlink" Target="https://www.nhs.uk/oneyou/every-mind-matters/sleep/" TargetMode="External"/><Relationship Id="rId28" Type="http://schemas.openxmlformats.org/officeDocument/2006/relationships/hyperlink" Target="https://www.rcpsych.ac.uk/docs/default-source/members/faculties/old-age/covid-19-delirium-management-guidance.pdf?sfvrsn=2d5c6e63_2" TargetMode="External"/><Relationship Id="rId10" Type="http://schemas.openxmlformats.org/officeDocument/2006/relationships/hyperlink" Target="https://www.gov.uk/government/publications/wuhan-novel-coronavirus-infection-prevention-and-control/reducing-the-risk-of-transmission-of-covid-19-in-the-hospital-setting" TargetMode="External"/><Relationship Id="rId19" Type="http://schemas.openxmlformats.org/officeDocument/2006/relationships/hyperlink" Target="https://www.prescqipp.info/media/1340/b175-hypnotics-20.pdf" TargetMode="External"/><Relationship Id="rId31" Type="http://schemas.openxmlformats.org/officeDocument/2006/relationships/hyperlink" Target="http://www.medicines.org.uk/emc/product/4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coronavirus-covid-19-personal-protective-equipment-ppe" TargetMode="External"/><Relationship Id="rId14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22" Type="http://schemas.openxmlformats.org/officeDocument/2006/relationships/hyperlink" Target="https://www.rcpsych.ac.uk/mental-health/problems-disorders/sleeping-well" TargetMode="External"/><Relationship Id="rId27" Type="http://schemas.openxmlformats.org/officeDocument/2006/relationships/hyperlink" Target="https://napicu.org.uk/wp-content/uploads/2020/06/NAPICU-Guidance_rev4_11_May.pdf" TargetMode="External"/><Relationship Id="rId30" Type="http://schemas.openxmlformats.org/officeDocument/2006/relationships/hyperlink" Target="https://www.nice.org.uk/guidance/ng163/resources/covid19-rapid-guideline-managing-symptoms-including-at-the-end-of-life-in-the-community-pdf-66141899069893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23</cp:revision>
  <dcterms:created xsi:type="dcterms:W3CDTF">2020-05-13T09:38:00Z</dcterms:created>
  <dcterms:modified xsi:type="dcterms:W3CDTF">2021-03-18T10:38:00Z</dcterms:modified>
</cp:coreProperties>
</file>